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38" w:rsidRDefault="002C4C19" w:rsidP="00566195">
      <w:pPr>
        <w:pStyle w:val="1"/>
        <w:numPr>
          <w:ilvl w:val="0"/>
          <w:numId w:val="0"/>
        </w:numPr>
        <w:jc w:val="center"/>
        <w:rPr>
          <w:rFonts w:hint="eastAsia"/>
          <w:sz w:val="32"/>
        </w:rPr>
      </w:pPr>
      <w:r w:rsidRPr="00566195">
        <w:rPr>
          <w:rFonts w:hint="eastAsia"/>
          <w:sz w:val="32"/>
        </w:rPr>
        <w:t>CDC.NET软件介绍</w:t>
      </w:r>
    </w:p>
    <w:p w:rsidR="00A77507" w:rsidRPr="00A77507" w:rsidRDefault="00A77507" w:rsidP="00A77507">
      <w:pPr>
        <w:ind w:firstLineChars="83"/>
        <w:jc w:val="right"/>
        <w:rPr>
          <w:b/>
        </w:rPr>
      </w:pPr>
      <w:r w:rsidRPr="00A77507">
        <w:rPr>
          <w:rFonts w:hint="eastAsia"/>
          <w:b/>
        </w:rPr>
        <w:t>研发部</w:t>
      </w:r>
      <w:r w:rsidRPr="00A77507">
        <w:rPr>
          <w:rFonts w:hint="eastAsia"/>
          <w:b/>
        </w:rPr>
        <w:t xml:space="preserve"> </w:t>
      </w:r>
      <w:r w:rsidRPr="00A77507">
        <w:rPr>
          <w:rFonts w:hint="eastAsia"/>
          <w:b/>
        </w:rPr>
        <w:t>于晓东</w:t>
      </w:r>
    </w:p>
    <w:p w:rsidR="002C4C19" w:rsidRPr="00991E54" w:rsidRDefault="00834AFB" w:rsidP="00991E54">
      <w:pPr>
        <w:pStyle w:val="1"/>
      </w:pPr>
      <w:r w:rsidRPr="00991E54">
        <w:rPr>
          <w:rFonts w:hint="eastAsia"/>
        </w:rPr>
        <w:t>VRS原理简介</w:t>
      </w:r>
    </w:p>
    <w:p w:rsidR="00E16CD2" w:rsidRPr="00991E54" w:rsidRDefault="00E16CD2" w:rsidP="00991E54">
      <w:pPr>
        <w:pStyle w:val="2"/>
      </w:pPr>
      <w:r w:rsidRPr="00991E54">
        <w:rPr>
          <w:rFonts w:hint="eastAsia"/>
        </w:rPr>
        <w:t>CORS</w:t>
      </w:r>
      <w:r w:rsidRPr="00991E54">
        <w:rPr>
          <w:rFonts w:hint="eastAsia"/>
        </w:rPr>
        <w:t>、网络</w:t>
      </w:r>
      <w:r w:rsidRPr="00991E54">
        <w:rPr>
          <w:rFonts w:hint="eastAsia"/>
        </w:rPr>
        <w:t>RTK</w:t>
      </w:r>
      <w:r w:rsidRPr="00991E54">
        <w:rPr>
          <w:rFonts w:hint="eastAsia"/>
        </w:rPr>
        <w:t>、</w:t>
      </w:r>
      <w:r w:rsidRPr="00991E54">
        <w:rPr>
          <w:rFonts w:hint="eastAsia"/>
        </w:rPr>
        <w:t>VRS</w:t>
      </w:r>
      <w:r w:rsidRPr="00991E54">
        <w:rPr>
          <w:rFonts w:hint="eastAsia"/>
        </w:rPr>
        <w:t>概念</w:t>
      </w:r>
    </w:p>
    <w:p w:rsidR="00E16CD2" w:rsidRDefault="00E562A0" w:rsidP="00E562A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CORS</w:t>
      </w:r>
      <w:r>
        <w:rPr>
          <w:rFonts w:hint="eastAsia"/>
        </w:rPr>
        <w:t>：</w:t>
      </w:r>
      <w:r w:rsidRPr="00E562A0">
        <w:rPr>
          <w:rFonts w:hint="eastAsia"/>
        </w:rPr>
        <w:t>连续运行基准站网（</w:t>
      </w:r>
      <w:r w:rsidRPr="00E562A0">
        <w:rPr>
          <w:rFonts w:hint="eastAsia"/>
        </w:rPr>
        <w:t xml:space="preserve">Continuously Operating Reference Stations </w:t>
      </w:r>
      <w:r w:rsidRPr="00E562A0">
        <w:rPr>
          <w:rFonts w:hint="eastAsia"/>
        </w:rPr>
        <w:t>，</w:t>
      </w:r>
      <w:r w:rsidRPr="00E562A0">
        <w:rPr>
          <w:rFonts w:hint="eastAsia"/>
        </w:rPr>
        <w:t>CORS</w:t>
      </w:r>
      <w:r w:rsidRPr="00E562A0">
        <w:rPr>
          <w:rFonts w:hint="eastAsia"/>
        </w:rPr>
        <w:t>），一个或若干个固定的、连续运行的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参考站，利用计算机、数据通信和互联网</w:t>
      </w:r>
      <w:r w:rsidRPr="00E562A0">
        <w:rPr>
          <w:rFonts w:hint="eastAsia"/>
        </w:rPr>
        <w:t>(LAN/WAN)</w:t>
      </w:r>
      <w:r w:rsidRPr="00E562A0">
        <w:rPr>
          <w:rFonts w:hint="eastAsia"/>
        </w:rPr>
        <w:t>技术组成的网络，实时地向不同类型、不同需求、不同层次的用户自动地提供经过检验的不同类型的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观测值</w:t>
      </w:r>
      <w:r w:rsidRPr="00E562A0">
        <w:rPr>
          <w:rFonts w:hint="eastAsia"/>
        </w:rPr>
        <w:t>(</w:t>
      </w:r>
      <w:r w:rsidRPr="00E562A0">
        <w:rPr>
          <w:rFonts w:hint="eastAsia"/>
        </w:rPr>
        <w:t>载波相位，伪距</w:t>
      </w:r>
      <w:r w:rsidRPr="00E562A0">
        <w:rPr>
          <w:rFonts w:hint="eastAsia"/>
        </w:rPr>
        <w:t>)</w:t>
      </w:r>
      <w:r w:rsidRPr="00E562A0">
        <w:rPr>
          <w:rFonts w:hint="eastAsia"/>
        </w:rPr>
        <w:t>、各种改正数、状态信息以及其他有关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服务项目的系统。</w:t>
      </w:r>
    </w:p>
    <w:p w:rsidR="00E562A0" w:rsidRDefault="00E562A0" w:rsidP="00E562A0">
      <w:pPr>
        <w:pStyle w:val="a3"/>
        <w:numPr>
          <w:ilvl w:val="0"/>
          <w:numId w:val="4"/>
        </w:numPr>
        <w:ind w:firstLineChars="0"/>
      </w:pPr>
      <w:r w:rsidRPr="00E562A0">
        <w:rPr>
          <w:rFonts w:hint="eastAsia"/>
        </w:rPr>
        <w:t>网络</w:t>
      </w:r>
      <w:r w:rsidRPr="00E562A0">
        <w:rPr>
          <w:rFonts w:hint="eastAsia"/>
        </w:rPr>
        <w:t>RTK</w:t>
      </w:r>
      <w:r w:rsidRPr="00E562A0">
        <w:rPr>
          <w:rFonts w:hint="eastAsia"/>
        </w:rPr>
        <w:t>：在</w:t>
      </w:r>
      <w:bookmarkStart w:id="0" w:name="_GoBack"/>
      <w:bookmarkEnd w:id="0"/>
      <w:r w:rsidRPr="00E562A0">
        <w:rPr>
          <w:rFonts w:hint="eastAsia"/>
        </w:rPr>
        <w:t>一个区域内建立多个（一般为三个或三个以上）的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参考站，对该区域构成网状覆盖，并以这些基准站中的一个或多个为基准计算和发播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改正信息，从而对该地区内的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用户进行实时改正的定位方式称为</w:t>
      </w:r>
      <w:r w:rsidRPr="00E562A0">
        <w:rPr>
          <w:rFonts w:hint="eastAsia"/>
        </w:rPr>
        <w:t>GNSS</w:t>
      </w:r>
      <w:r w:rsidRPr="00E562A0">
        <w:rPr>
          <w:rFonts w:hint="eastAsia"/>
        </w:rPr>
        <w:t>网络</w:t>
      </w:r>
      <w:r w:rsidRPr="00E562A0">
        <w:rPr>
          <w:rFonts w:hint="eastAsia"/>
        </w:rPr>
        <w:t>RTK</w:t>
      </w:r>
      <w:r w:rsidRPr="00E562A0">
        <w:rPr>
          <w:rFonts w:hint="eastAsia"/>
        </w:rPr>
        <w:t>，又称为多基准站</w:t>
      </w:r>
      <w:r w:rsidRPr="00E562A0">
        <w:rPr>
          <w:rFonts w:hint="eastAsia"/>
        </w:rPr>
        <w:t>RTK</w:t>
      </w:r>
      <w:r w:rsidRPr="00E562A0">
        <w:rPr>
          <w:rFonts w:hint="eastAsia"/>
        </w:rPr>
        <w:t>。</w:t>
      </w:r>
    </w:p>
    <w:p w:rsidR="00E562A0" w:rsidRDefault="00E562A0" w:rsidP="00E562A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VRS :</w:t>
      </w:r>
      <w:r>
        <w:rPr>
          <w:rFonts w:hint="eastAsia"/>
        </w:rPr>
        <w:t>虚拟参考站技术（</w:t>
      </w:r>
      <w:r>
        <w:rPr>
          <w:rFonts w:hint="eastAsia"/>
        </w:rPr>
        <w:t>Virtual Reference Station ,VRS</w:t>
      </w:r>
      <w:r>
        <w:rPr>
          <w:rFonts w:hint="eastAsia"/>
        </w:rPr>
        <w:t>），首先在一定区域内架设一定数量</w:t>
      </w:r>
      <w:r>
        <w:rPr>
          <w:rFonts w:hint="eastAsia"/>
        </w:rPr>
        <w:t>(</w:t>
      </w:r>
      <w:r>
        <w:rPr>
          <w:rFonts w:hint="eastAsia"/>
        </w:rPr>
        <w:t>最少三个</w:t>
      </w:r>
      <w:r>
        <w:rPr>
          <w:rFonts w:hint="eastAsia"/>
        </w:rPr>
        <w:t>)</w:t>
      </w:r>
      <w:r>
        <w:rPr>
          <w:rFonts w:hint="eastAsia"/>
        </w:rPr>
        <w:t>的基准站，基站接收卫星信号，然后将信息传送至信息处理中心，移动站先将接收机的位置信息发送到数据处理中心，数据处理中心会根据移动站的位置，选择附近几个基准站信息，“虚拟”出一个参考站，然后，将虚拟出的参考站改正数据播发给移动站，这个虚拟参考站的位置通常是在移动站周围</w:t>
      </w:r>
      <w:r>
        <w:rPr>
          <w:rFonts w:hint="eastAsia"/>
        </w:rPr>
        <w:t>5</w:t>
      </w:r>
      <w:r>
        <w:rPr>
          <w:rFonts w:hint="eastAsia"/>
        </w:rPr>
        <w:t>千米范围内，但是实际情况中，一般是几米之内，通过这项技术所获得的数据误差就减小了很多。</w:t>
      </w:r>
    </w:p>
    <w:p w:rsidR="0001743B" w:rsidRDefault="0001743B" w:rsidP="0001743B">
      <w:pPr>
        <w:pStyle w:val="a3"/>
        <w:ind w:left="90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564443" cy="2519446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591" cy="25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1743B" w:rsidRDefault="0001743B" w:rsidP="0001743B">
      <w:pPr>
        <w:pStyle w:val="a5"/>
        <w:ind w:firstLine="40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04EF2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B04EF2">
        <w:fldChar w:fldCharType="separate"/>
      </w:r>
      <w:r>
        <w:rPr>
          <w:noProof/>
        </w:rPr>
        <w:t>1</w:t>
      </w:r>
      <w:r w:rsidR="00B04EF2">
        <w:fldChar w:fldCharType="end"/>
      </w:r>
      <w:r>
        <w:rPr>
          <w:rFonts w:hint="eastAsia"/>
        </w:rPr>
        <w:t xml:space="preserve"> VRS</w:t>
      </w:r>
      <w:r>
        <w:rPr>
          <w:rFonts w:hint="eastAsia"/>
        </w:rPr>
        <w:t>工作原理示意图</w:t>
      </w:r>
    </w:p>
    <w:p w:rsidR="0001743B" w:rsidRDefault="0001743B" w:rsidP="0001743B">
      <w:pPr>
        <w:pStyle w:val="2"/>
      </w:pPr>
      <w:r>
        <w:rPr>
          <w:rFonts w:hint="eastAsia"/>
        </w:rPr>
        <w:t>几种网络</w:t>
      </w:r>
      <w:r>
        <w:rPr>
          <w:rFonts w:hint="eastAsia"/>
        </w:rPr>
        <w:t>RTK</w:t>
      </w:r>
      <w:r>
        <w:rPr>
          <w:rFonts w:hint="eastAsia"/>
        </w:rPr>
        <w:t>技术比较分析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1180"/>
        <w:gridCol w:w="1706"/>
        <w:gridCol w:w="1937"/>
        <w:gridCol w:w="1847"/>
        <w:gridCol w:w="1666"/>
      </w:tblGrid>
      <w:tr w:rsidR="00787D01" w:rsidRPr="00787D01" w:rsidTr="00CA377E">
        <w:trPr>
          <w:trHeight w:val="514"/>
        </w:trPr>
        <w:tc>
          <w:tcPr>
            <w:tcW w:w="7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72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1023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42"/>
              </w:rPr>
              <w:t>VRS</w:t>
            </w:r>
          </w:p>
        </w:tc>
        <w:tc>
          <w:tcPr>
            <w:tcW w:w="1162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42"/>
              </w:rPr>
              <w:t>FKP</w:t>
            </w:r>
          </w:p>
        </w:tc>
        <w:tc>
          <w:tcPr>
            <w:tcW w:w="11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42"/>
              </w:rPr>
              <w:t>MAC</w:t>
            </w:r>
          </w:p>
        </w:tc>
        <w:tc>
          <w:tcPr>
            <w:tcW w:w="999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42"/>
              </w:rPr>
              <w:t>CBI</w:t>
            </w:r>
          </w:p>
        </w:tc>
      </w:tr>
      <w:tr w:rsidR="00787D01" w:rsidRPr="00787D01" w:rsidTr="00CA377E">
        <w:trPr>
          <w:trHeight w:val="1057"/>
        </w:trPr>
        <w:tc>
          <w:tcPr>
            <w:tcW w:w="7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基础数学模型</w:t>
            </w:r>
          </w:p>
        </w:tc>
        <w:tc>
          <w:tcPr>
            <w:tcW w:w="1023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双差观测模型内插模型</w:t>
            </w:r>
          </w:p>
        </w:tc>
        <w:tc>
          <w:tcPr>
            <w:tcW w:w="1162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全网整体解的非差观测模型</w:t>
            </w: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30"/>
              </w:rPr>
              <w:t xml:space="preserve">Kalman </w:t>
            </w: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滤波</w:t>
            </w:r>
          </w:p>
        </w:tc>
        <w:tc>
          <w:tcPr>
            <w:tcW w:w="11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双差观测模型</w:t>
            </w: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30"/>
              </w:rPr>
              <w:t>/</w:t>
            </w: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各模型兼容</w:t>
            </w:r>
          </w:p>
        </w:tc>
        <w:tc>
          <w:tcPr>
            <w:tcW w:w="999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双差观测模型内插模型</w:t>
            </w:r>
          </w:p>
        </w:tc>
      </w:tr>
      <w:tr w:rsidR="00787D01" w:rsidRPr="00787D01" w:rsidTr="00CA377E">
        <w:trPr>
          <w:trHeight w:val="704"/>
        </w:trPr>
        <w:tc>
          <w:tcPr>
            <w:tcW w:w="7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空间误差建模</w:t>
            </w:r>
          </w:p>
        </w:tc>
        <w:tc>
          <w:tcPr>
            <w:tcW w:w="1023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在服务器端</w:t>
            </w:r>
          </w:p>
        </w:tc>
        <w:tc>
          <w:tcPr>
            <w:tcW w:w="1162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在流动用户端</w:t>
            </w:r>
          </w:p>
        </w:tc>
        <w:tc>
          <w:tcPr>
            <w:tcW w:w="11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在流动用户端</w:t>
            </w:r>
          </w:p>
        </w:tc>
        <w:tc>
          <w:tcPr>
            <w:tcW w:w="999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在服务器端</w:t>
            </w:r>
          </w:p>
        </w:tc>
      </w:tr>
      <w:tr w:rsidR="00787D01" w:rsidRPr="00787D01" w:rsidTr="00CA377E">
        <w:trPr>
          <w:trHeight w:val="1607"/>
        </w:trPr>
        <w:tc>
          <w:tcPr>
            <w:tcW w:w="7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参与解算的参考站</w:t>
            </w:r>
          </w:p>
        </w:tc>
        <w:tc>
          <w:tcPr>
            <w:tcW w:w="1023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需要选择一个主参考站，网络内全部基准站都参与定位解算</w:t>
            </w:r>
          </w:p>
        </w:tc>
        <w:tc>
          <w:tcPr>
            <w:tcW w:w="1162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不选择主参考站，取距离流动站距离最近的三个基准站</w:t>
            </w:r>
          </w:p>
        </w:tc>
        <w:tc>
          <w:tcPr>
            <w:tcW w:w="11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需要选择一个主站，但并不要求一定取距离用户最近的基站作为主站</w:t>
            </w:r>
          </w:p>
        </w:tc>
        <w:tc>
          <w:tcPr>
            <w:tcW w:w="999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根据流动站和基准站的相对位置灵活选择参考站</w:t>
            </w:r>
          </w:p>
        </w:tc>
      </w:tr>
      <w:tr w:rsidR="00787D01" w:rsidRPr="00787D01" w:rsidTr="00CA377E">
        <w:trPr>
          <w:trHeight w:val="845"/>
        </w:trPr>
        <w:tc>
          <w:tcPr>
            <w:tcW w:w="7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通讯方式</w:t>
            </w:r>
          </w:p>
        </w:tc>
        <w:tc>
          <w:tcPr>
            <w:tcW w:w="1023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双向通信</w:t>
            </w:r>
          </w:p>
        </w:tc>
        <w:tc>
          <w:tcPr>
            <w:tcW w:w="1162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单向通信</w:t>
            </w:r>
          </w:p>
        </w:tc>
        <w:tc>
          <w:tcPr>
            <w:tcW w:w="11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双、单向通信</w:t>
            </w:r>
          </w:p>
        </w:tc>
        <w:tc>
          <w:tcPr>
            <w:tcW w:w="999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单向通信</w:t>
            </w:r>
          </w:p>
        </w:tc>
      </w:tr>
      <w:tr w:rsidR="00787D01" w:rsidRPr="00787D01" w:rsidTr="00CA377E">
        <w:trPr>
          <w:trHeight w:val="701"/>
        </w:trPr>
        <w:tc>
          <w:tcPr>
            <w:tcW w:w="7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</w:p>
        </w:tc>
        <w:tc>
          <w:tcPr>
            <w:tcW w:w="1023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天宝公司的</w:t>
            </w: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30"/>
              </w:rPr>
              <w:t>GPSNet</w:t>
            </w:r>
          </w:p>
        </w:tc>
        <w:tc>
          <w:tcPr>
            <w:tcW w:w="1162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德国的</w:t>
            </w: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30"/>
              </w:rPr>
              <w:t>SAPOS</w:t>
            </w: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网络</w:t>
            </w:r>
          </w:p>
        </w:tc>
        <w:tc>
          <w:tcPr>
            <w:tcW w:w="1108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徕卡公司的</w:t>
            </w: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30"/>
              </w:rPr>
              <w:t>Spider</w:t>
            </w:r>
          </w:p>
        </w:tc>
        <w:tc>
          <w:tcPr>
            <w:tcW w:w="999" w:type="pc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7D01" w:rsidRPr="00787D01" w:rsidRDefault="00787D01" w:rsidP="00787D01">
            <w:pPr>
              <w:widowControl/>
              <w:ind w:firstLineChars="0" w:firstLine="0"/>
              <w:jc w:val="center"/>
              <w:rPr>
                <w:rFonts w:ascii="Arial" w:eastAsia="宋体" w:hAnsi="Arial" w:cs="Arial"/>
                <w:kern w:val="0"/>
                <w:sz w:val="22"/>
                <w:szCs w:val="36"/>
              </w:rPr>
            </w:pPr>
            <w:r w:rsidRPr="00787D01">
              <w:rPr>
                <w:rFonts w:ascii="宋体" w:eastAsia="宋体" w:hAnsi="宋体" w:cs="宋体"/>
                <w:color w:val="000000" w:themeColor="text1"/>
                <w:kern w:val="24"/>
                <w:sz w:val="22"/>
                <w:szCs w:val="30"/>
              </w:rPr>
              <w:t>武汉大学</w:t>
            </w:r>
            <w:r w:rsidRPr="00787D01">
              <w:rPr>
                <w:rFonts w:eastAsia="Times New Roman" w:cs="Times New Roman"/>
                <w:color w:val="000000" w:themeColor="text1"/>
                <w:kern w:val="24"/>
                <w:sz w:val="22"/>
                <w:szCs w:val="30"/>
              </w:rPr>
              <w:t>PowerNet</w:t>
            </w:r>
          </w:p>
        </w:tc>
      </w:tr>
    </w:tbl>
    <w:p w:rsidR="00CA377E" w:rsidRDefault="00CA377E" w:rsidP="00CA377E">
      <w:pPr>
        <w:pStyle w:val="2"/>
      </w:pPr>
      <w:r>
        <w:rPr>
          <w:rFonts w:hint="eastAsia"/>
        </w:rPr>
        <w:lastRenderedPageBreak/>
        <w:t>VRS</w:t>
      </w:r>
      <w:r>
        <w:rPr>
          <w:rFonts w:hint="eastAsia"/>
        </w:rPr>
        <w:t>基本原理</w:t>
      </w:r>
    </w:p>
    <w:p w:rsidR="00CA377E" w:rsidRDefault="00CA377E" w:rsidP="00CA377E">
      <w:pPr>
        <w:ind w:firstLine="480"/>
        <w:jc w:val="center"/>
      </w:pPr>
      <w:r>
        <w:rPr>
          <w:noProof/>
        </w:rPr>
        <w:drawing>
          <wp:inline distT="0" distB="0" distL="0" distR="0">
            <wp:extent cx="3029447" cy="177962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47" cy="17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66195" w:rsidRDefault="00566195" w:rsidP="00CA377E">
      <w:pPr>
        <w:ind w:firstLine="480"/>
        <w:jc w:val="center"/>
      </w:pPr>
      <w:r w:rsidRPr="00566195">
        <w:rPr>
          <w:position w:val="-68"/>
        </w:rPr>
        <w:object w:dxaOrig="556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73.9pt" o:ole="">
            <v:imagedata r:id="rId8" o:title=""/>
          </v:shape>
          <o:OLEObject Type="Embed" ProgID="Equation.DSMT4" ShapeID="_x0000_i1025" DrawAspect="Content" ObjectID="_1551354416" r:id="rId9"/>
        </w:object>
      </w:r>
      <w:r>
        <w:t xml:space="preserve"> </w:t>
      </w:r>
    </w:p>
    <w:p w:rsidR="00566195" w:rsidRDefault="00566195" w:rsidP="00566195">
      <w:pPr>
        <w:pStyle w:val="2"/>
        <w:ind w:left="0"/>
      </w:pPr>
      <w:r>
        <w:rPr>
          <w:rFonts w:hint="eastAsia"/>
        </w:rPr>
        <w:t>VRS</w:t>
      </w:r>
      <w:r w:rsidR="009318CC">
        <w:rPr>
          <w:rFonts w:hint="eastAsia"/>
        </w:rPr>
        <w:t>关键技术</w:t>
      </w:r>
    </w:p>
    <w:p w:rsidR="009318CC" w:rsidRPr="009318CC" w:rsidRDefault="009318CC" w:rsidP="009318CC">
      <w:pPr>
        <w:ind w:firstLine="480"/>
      </w:pPr>
      <w:r>
        <w:rPr>
          <w:rFonts w:hint="eastAsia"/>
        </w:rPr>
        <w:t>VRS</w:t>
      </w:r>
      <w:r>
        <w:rPr>
          <w:rFonts w:hint="eastAsia"/>
        </w:rPr>
        <w:t>软件的关键技术有：</w:t>
      </w:r>
    </w:p>
    <w:p w:rsidR="009318CC" w:rsidRDefault="009318CC" w:rsidP="009318CC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一是基准站长基线的模糊度固定。如何实现长基线模糊度的快速、准确固定，是影响系统初始化时间、可用性的关键因素。</w:t>
      </w:r>
    </w:p>
    <w:p w:rsidR="009436B1" w:rsidRDefault="009318CC" w:rsidP="009318CC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二是区域空间大气误差的精确建模。大气误差的建模精度直接影响用户的定位精度。</w:t>
      </w:r>
    </w:p>
    <w:p w:rsidR="009318CC" w:rsidRDefault="009318CC" w:rsidP="009318CC">
      <w:pPr>
        <w:pStyle w:val="a3"/>
        <w:ind w:firstLine="480"/>
        <w:jc w:val="left"/>
      </w:pPr>
      <w:r>
        <w:rPr>
          <w:rFonts w:hint="eastAsia"/>
        </w:rPr>
        <w:t>围绕这两个核心因素，需要解决的相关技术要点有：</w:t>
      </w:r>
    </w:p>
    <w:p w:rsidR="009318CC" w:rsidRDefault="009318CC" w:rsidP="009318CC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数据实时传输，不同格式数据的编码、解码；</w:t>
      </w:r>
    </w:p>
    <w:p w:rsidR="009318CC" w:rsidRDefault="009318CC" w:rsidP="009318CC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数据质量控制，周跳、钟跳、多路径等相关误差的处理；</w:t>
      </w:r>
    </w:p>
    <w:p w:rsidR="009318CC" w:rsidRDefault="009318CC" w:rsidP="009318CC">
      <w:pPr>
        <w:pStyle w:val="a3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大容量用户接入时的并发处理；</w:t>
      </w:r>
    </w:p>
    <w:p w:rsidR="00F4731A" w:rsidRDefault="00F4731A" w:rsidP="00F4731A">
      <w:pPr>
        <w:pStyle w:val="a3"/>
        <w:numPr>
          <w:ilvl w:val="0"/>
          <w:numId w:val="7"/>
        </w:numPr>
        <w:ind w:firstLineChars="0"/>
        <w:jc w:val="left"/>
      </w:pPr>
      <w:r w:rsidRPr="00F4731A">
        <w:rPr>
          <w:rFonts w:hint="eastAsia"/>
        </w:rPr>
        <w:t>基线模糊度固定</w:t>
      </w:r>
    </w:p>
    <w:p w:rsidR="00F4731A" w:rsidRDefault="0017766A" w:rsidP="0017766A">
      <w:pPr>
        <w:pStyle w:val="a3"/>
        <w:numPr>
          <w:ilvl w:val="1"/>
          <w:numId w:val="8"/>
        </w:numPr>
        <w:ind w:firstLineChars="0"/>
        <w:jc w:val="left"/>
      </w:pPr>
      <w:r>
        <w:rPr>
          <w:rFonts w:hint="eastAsia"/>
        </w:rPr>
        <w:t>宽巷模糊度</w:t>
      </w:r>
    </w:p>
    <w:p w:rsidR="00961EDB" w:rsidRDefault="00595250" w:rsidP="00961EDB">
      <w:pPr>
        <w:pStyle w:val="a3"/>
        <w:ind w:left="1271" w:firstLineChars="0" w:firstLine="0"/>
        <w:jc w:val="left"/>
      </w:pPr>
      <w:r w:rsidRPr="00595250">
        <w:rPr>
          <w:position w:val="-30"/>
        </w:rPr>
        <w:object w:dxaOrig="4880" w:dyaOrig="680">
          <v:shape id="_x0000_i1026" type="#_x0000_t75" style="width:244.15pt;height:33.8pt" o:ole="">
            <v:imagedata r:id="rId10" o:title=""/>
          </v:shape>
          <o:OLEObject Type="Embed" ProgID="Equation.DSMT4" ShapeID="_x0000_i1026" DrawAspect="Content" ObjectID="_1551354417" r:id="rId11"/>
        </w:object>
      </w:r>
      <w:r>
        <w:t xml:space="preserve"> </w:t>
      </w:r>
    </w:p>
    <w:p w:rsidR="0017766A" w:rsidRDefault="0017766A" w:rsidP="0017766A">
      <w:pPr>
        <w:pStyle w:val="a3"/>
        <w:numPr>
          <w:ilvl w:val="1"/>
          <w:numId w:val="8"/>
        </w:numPr>
        <w:ind w:firstLineChars="0"/>
        <w:jc w:val="left"/>
      </w:pPr>
      <w:r w:rsidRPr="0017766A">
        <w:rPr>
          <w:rFonts w:hint="eastAsia"/>
        </w:rPr>
        <w:t>消电离层组合</w:t>
      </w:r>
    </w:p>
    <w:p w:rsidR="00961EDB" w:rsidRDefault="00595250" w:rsidP="00961EDB">
      <w:pPr>
        <w:pStyle w:val="a3"/>
        <w:ind w:left="1271" w:firstLineChars="0" w:firstLine="0"/>
        <w:jc w:val="left"/>
      </w:pPr>
      <w:r w:rsidRPr="00595250">
        <w:rPr>
          <w:position w:val="-30"/>
        </w:rPr>
        <w:object w:dxaOrig="3780" w:dyaOrig="680">
          <v:shape id="_x0000_i1027" type="#_x0000_t75" style="width:189.1pt;height:33.8pt" o:ole="">
            <v:imagedata r:id="rId12" o:title=""/>
          </v:shape>
          <o:OLEObject Type="Embed" ProgID="Equation.DSMT4" ShapeID="_x0000_i1027" DrawAspect="Content" ObjectID="_1551354418" r:id="rId13"/>
        </w:object>
      </w:r>
      <w:r>
        <w:t xml:space="preserve"> </w:t>
      </w:r>
    </w:p>
    <w:p w:rsidR="0017766A" w:rsidRDefault="0017766A" w:rsidP="0017766A">
      <w:pPr>
        <w:pStyle w:val="a3"/>
        <w:numPr>
          <w:ilvl w:val="1"/>
          <w:numId w:val="8"/>
        </w:numPr>
        <w:ind w:firstLineChars="0"/>
        <w:jc w:val="left"/>
      </w:pPr>
      <w:r w:rsidRPr="0017766A">
        <w:rPr>
          <w:rFonts w:hint="eastAsia"/>
        </w:rPr>
        <w:t>L1</w:t>
      </w:r>
      <w:r w:rsidRPr="0017766A">
        <w:rPr>
          <w:rFonts w:hint="eastAsia"/>
        </w:rPr>
        <w:t>模糊度和天顶对流层延迟</w:t>
      </w:r>
      <w:r w:rsidRPr="0017766A">
        <w:rPr>
          <w:rFonts w:hint="eastAsia"/>
        </w:rPr>
        <w:t>RZTD</w:t>
      </w:r>
      <w:r w:rsidRPr="0017766A">
        <w:rPr>
          <w:rFonts w:hint="eastAsia"/>
        </w:rPr>
        <w:t>（短基线可忽略对流层影响</w:t>
      </w:r>
      <w:r w:rsidRPr="0017766A">
        <w:rPr>
          <w:rFonts w:hint="eastAsia"/>
        </w:rPr>
        <w:t>,</w:t>
      </w:r>
      <w:r w:rsidRPr="0017766A">
        <w:rPr>
          <w:rFonts w:hint="eastAsia"/>
        </w:rPr>
        <w:t>不进</w:t>
      </w:r>
      <w:r w:rsidRPr="0017766A">
        <w:rPr>
          <w:rFonts w:hint="eastAsia"/>
        </w:rPr>
        <w:lastRenderedPageBreak/>
        <w:t>行估计，长基线需要估计</w:t>
      </w:r>
      <w:r w:rsidRPr="0017766A">
        <w:rPr>
          <w:rFonts w:hint="eastAsia"/>
        </w:rPr>
        <w:t>ZTD</w:t>
      </w:r>
      <w:r w:rsidRPr="0017766A">
        <w:rPr>
          <w:rFonts w:hint="eastAsia"/>
        </w:rPr>
        <w:t>）</w:t>
      </w:r>
    </w:p>
    <w:p w:rsidR="00595250" w:rsidRDefault="00595250" w:rsidP="009572C1">
      <w:pPr>
        <w:pStyle w:val="a3"/>
        <w:ind w:firstLineChars="0" w:firstLine="0"/>
        <w:jc w:val="center"/>
      </w:pPr>
      <w:r w:rsidRPr="00595250">
        <w:rPr>
          <w:position w:val="-50"/>
        </w:rPr>
        <w:object w:dxaOrig="7300" w:dyaOrig="1120">
          <v:shape id="_x0000_i1028" type="#_x0000_t75" style="width:365pt;height:55.7pt" o:ole="">
            <v:imagedata r:id="rId14" o:title=""/>
          </v:shape>
          <o:OLEObject Type="Embed" ProgID="Equation.DSMT4" ShapeID="_x0000_i1028" DrawAspect="Content" ObjectID="_1551354419" r:id="rId15"/>
        </w:object>
      </w:r>
    </w:p>
    <w:p w:rsidR="00E82F0C" w:rsidRDefault="00E82F0C" w:rsidP="00E82F0C">
      <w:pPr>
        <w:pStyle w:val="a3"/>
        <w:numPr>
          <w:ilvl w:val="0"/>
          <w:numId w:val="7"/>
        </w:numPr>
        <w:ind w:firstLineChars="0"/>
        <w:jc w:val="left"/>
      </w:pPr>
      <w:r w:rsidRPr="00E82F0C">
        <w:rPr>
          <w:rFonts w:hint="eastAsia"/>
        </w:rPr>
        <w:t>基线大气误差延迟信息计算</w:t>
      </w:r>
    </w:p>
    <w:p w:rsidR="00E82F0C" w:rsidRDefault="00E82F0C" w:rsidP="00E82F0C">
      <w:pPr>
        <w:pStyle w:val="a3"/>
        <w:numPr>
          <w:ilvl w:val="2"/>
          <w:numId w:val="8"/>
        </w:numPr>
        <w:ind w:firstLineChars="0"/>
        <w:jc w:val="left"/>
      </w:pPr>
      <w:r w:rsidRPr="00E82F0C">
        <w:rPr>
          <w:rFonts w:hint="eastAsia"/>
        </w:rPr>
        <w:t>双差电离层延迟计算</w:t>
      </w:r>
    </w:p>
    <w:p w:rsidR="00E82F0C" w:rsidRDefault="009B0072" w:rsidP="00E82F0C">
      <w:pPr>
        <w:pStyle w:val="a3"/>
        <w:ind w:left="1200" w:firstLineChars="0" w:firstLine="0"/>
        <w:jc w:val="left"/>
      </w:pPr>
      <w:r w:rsidRPr="00E82F0C">
        <w:rPr>
          <w:position w:val="-32"/>
        </w:rPr>
        <w:object w:dxaOrig="5760" w:dyaOrig="760">
          <v:shape id="_x0000_i1029" type="#_x0000_t75" style="width:4in;height:38.2pt" o:ole="">
            <v:imagedata r:id="rId16" o:title=""/>
          </v:shape>
          <o:OLEObject Type="Embed" ProgID="Equation.DSMT4" ShapeID="_x0000_i1029" DrawAspect="Content" ObjectID="_1551354420" r:id="rId17"/>
        </w:object>
      </w:r>
      <w:r w:rsidR="00E82F0C">
        <w:t xml:space="preserve"> </w:t>
      </w:r>
    </w:p>
    <w:p w:rsidR="009B0072" w:rsidRDefault="009B0072" w:rsidP="00E82F0C">
      <w:pPr>
        <w:pStyle w:val="a3"/>
        <w:ind w:left="1200" w:firstLineChars="0" w:firstLine="0"/>
        <w:jc w:val="left"/>
      </w:pPr>
      <w:r w:rsidRPr="009B0072">
        <w:rPr>
          <w:position w:val="-32"/>
        </w:rPr>
        <w:object w:dxaOrig="5780" w:dyaOrig="760">
          <v:shape id="_x0000_i1030" type="#_x0000_t75" style="width:289.25pt;height:38.2pt" o:ole="">
            <v:imagedata r:id="rId18" o:title=""/>
          </v:shape>
          <o:OLEObject Type="Embed" ProgID="Equation.DSMT4" ShapeID="_x0000_i1030" DrawAspect="Content" ObjectID="_1551354421" r:id="rId19"/>
        </w:object>
      </w:r>
      <w:r>
        <w:t xml:space="preserve"> </w:t>
      </w:r>
    </w:p>
    <w:p w:rsidR="00E82F0C" w:rsidRDefault="00E82F0C" w:rsidP="00E82F0C">
      <w:pPr>
        <w:pStyle w:val="a3"/>
        <w:numPr>
          <w:ilvl w:val="2"/>
          <w:numId w:val="8"/>
        </w:numPr>
        <w:ind w:firstLineChars="0"/>
        <w:jc w:val="left"/>
      </w:pPr>
      <w:r w:rsidRPr="00E82F0C">
        <w:rPr>
          <w:rFonts w:hint="eastAsia"/>
        </w:rPr>
        <w:t>双差对流层延迟计算</w:t>
      </w:r>
    </w:p>
    <w:p w:rsidR="009B0072" w:rsidRDefault="0084303E" w:rsidP="009B0072">
      <w:pPr>
        <w:pStyle w:val="a3"/>
        <w:ind w:left="1200" w:firstLineChars="0" w:firstLine="0"/>
        <w:jc w:val="left"/>
      </w:pPr>
      <w:r w:rsidRPr="0084303E">
        <w:rPr>
          <w:position w:val="-32"/>
        </w:rPr>
        <w:object w:dxaOrig="6979" w:dyaOrig="760">
          <v:shape id="_x0000_i1031" type="#_x0000_t75" style="width:348.75pt;height:38.2pt" o:ole="">
            <v:imagedata r:id="rId20" o:title=""/>
          </v:shape>
          <o:OLEObject Type="Embed" ProgID="Equation.DSMT4" ShapeID="_x0000_i1031" DrawAspect="Content" ObjectID="_1551354422" r:id="rId21"/>
        </w:object>
      </w:r>
      <w:r>
        <w:t xml:space="preserve"> </w:t>
      </w:r>
    </w:p>
    <w:p w:rsidR="007D53E9" w:rsidRDefault="007D53E9" w:rsidP="007D53E9">
      <w:pPr>
        <w:pStyle w:val="a3"/>
        <w:numPr>
          <w:ilvl w:val="0"/>
          <w:numId w:val="7"/>
        </w:numPr>
        <w:ind w:firstLineChars="0"/>
        <w:jc w:val="left"/>
      </w:pPr>
      <w:r w:rsidRPr="007D53E9">
        <w:rPr>
          <w:rFonts w:hint="eastAsia"/>
        </w:rPr>
        <w:t>虚拟参考站处对流层、电离层延迟线性内插</w:t>
      </w:r>
    </w:p>
    <w:p w:rsidR="007D53E9" w:rsidRDefault="007D53E9" w:rsidP="007D53E9">
      <w:pPr>
        <w:pStyle w:val="a3"/>
        <w:numPr>
          <w:ilvl w:val="0"/>
          <w:numId w:val="7"/>
        </w:numPr>
        <w:ind w:firstLineChars="0"/>
        <w:jc w:val="left"/>
      </w:pPr>
      <w:r w:rsidRPr="007D53E9">
        <w:rPr>
          <w:rFonts w:hint="eastAsia"/>
        </w:rPr>
        <w:t>虚拟参考站综合改正数生成</w:t>
      </w:r>
    </w:p>
    <w:p w:rsidR="007D53E9" w:rsidRDefault="007D53E9" w:rsidP="007D53E9">
      <w:pPr>
        <w:pStyle w:val="a3"/>
        <w:numPr>
          <w:ilvl w:val="0"/>
          <w:numId w:val="9"/>
        </w:numPr>
        <w:ind w:firstLineChars="0"/>
        <w:jc w:val="left"/>
      </w:pPr>
      <w:r w:rsidRPr="007D53E9">
        <w:rPr>
          <w:rFonts w:hint="eastAsia"/>
        </w:rPr>
        <w:t>综合改正数：</w:t>
      </w:r>
    </w:p>
    <w:p w:rsidR="007D53E9" w:rsidRDefault="007D53E9" w:rsidP="007D53E9">
      <w:pPr>
        <w:pStyle w:val="a3"/>
        <w:ind w:left="1200" w:firstLineChars="0" w:firstLine="0"/>
        <w:jc w:val="left"/>
      </w:pPr>
      <w:r w:rsidRPr="007D53E9">
        <w:rPr>
          <w:position w:val="-12"/>
        </w:rPr>
        <w:object w:dxaOrig="2340" w:dyaOrig="380">
          <v:shape id="_x0000_i1032" type="#_x0000_t75" style="width:117.1pt;height:18.8pt" o:ole="">
            <v:imagedata r:id="rId22" o:title=""/>
          </v:shape>
          <o:OLEObject Type="Embed" ProgID="Equation.DSMT4" ShapeID="_x0000_i1032" DrawAspect="Content" ObjectID="_1551354423" r:id="rId23"/>
        </w:object>
      </w:r>
      <w:r>
        <w:t xml:space="preserve"> </w:t>
      </w:r>
    </w:p>
    <w:p w:rsidR="007D53E9" w:rsidRDefault="007D53E9" w:rsidP="007D53E9">
      <w:pPr>
        <w:pStyle w:val="a3"/>
        <w:numPr>
          <w:ilvl w:val="0"/>
          <w:numId w:val="9"/>
        </w:numPr>
        <w:ind w:firstLineChars="0"/>
        <w:jc w:val="left"/>
      </w:pPr>
      <w:r w:rsidRPr="007D53E9">
        <w:rPr>
          <w:rFonts w:hint="eastAsia"/>
        </w:rPr>
        <w:t>非差观测值：</w:t>
      </w:r>
    </w:p>
    <w:p w:rsidR="007D53E9" w:rsidRDefault="007D53E9" w:rsidP="007D53E9">
      <w:pPr>
        <w:pStyle w:val="a3"/>
        <w:ind w:left="900" w:firstLineChars="0" w:firstLine="0"/>
        <w:jc w:val="left"/>
      </w:pPr>
      <w:r w:rsidRPr="007D53E9">
        <w:rPr>
          <w:position w:val="-48"/>
        </w:rPr>
        <w:object w:dxaOrig="3100" w:dyaOrig="1080">
          <v:shape id="_x0000_i1033" type="#_x0000_t75" style="width:155.25pt;height:53.85pt" o:ole="">
            <v:imagedata r:id="rId24" o:title=""/>
          </v:shape>
          <o:OLEObject Type="Embed" ProgID="Equation.DSMT4" ShapeID="_x0000_i1033" DrawAspect="Content" ObjectID="_1551354424" r:id="rId25"/>
        </w:object>
      </w:r>
    </w:p>
    <w:p w:rsidR="00595250" w:rsidRDefault="00595250" w:rsidP="00595250">
      <w:pPr>
        <w:pStyle w:val="1"/>
      </w:pPr>
      <w:r w:rsidRPr="00C61A58">
        <w:rPr>
          <w:rFonts w:hint="eastAsia"/>
        </w:rPr>
        <w:t>CDC.NET功能概述</w:t>
      </w:r>
    </w:p>
    <w:p w:rsidR="00F04908" w:rsidRPr="00F04908" w:rsidRDefault="00F04908" w:rsidP="00F04908">
      <w:pPr>
        <w:pStyle w:val="a3"/>
        <w:keepNext/>
        <w:keepLines/>
        <w:numPr>
          <w:ilvl w:val="0"/>
          <w:numId w:val="3"/>
        </w:numPr>
        <w:spacing w:before="120" w:after="120" w:line="480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Cs w:val="32"/>
        </w:rPr>
      </w:pPr>
    </w:p>
    <w:p w:rsidR="00834AFB" w:rsidRPr="00834AFB" w:rsidRDefault="00F04908" w:rsidP="00F04908">
      <w:pPr>
        <w:pStyle w:val="2"/>
      </w:pPr>
      <w:r w:rsidRPr="00F04908">
        <w:rPr>
          <w:rFonts w:hint="eastAsia"/>
        </w:rPr>
        <w:t>软件运行布局</w:t>
      </w:r>
    </w:p>
    <w:p w:rsidR="00F04908" w:rsidRDefault="00F04908" w:rsidP="00F0490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一站式管理，前后台分离、界面关闭不影响服务运行；</w:t>
      </w:r>
      <w:r>
        <w:rPr>
          <w:rFonts w:hint="eastAsia"/>
        </w:rPr>
        <w:t xml:space="preserve"> </w:t>
      </w:r>
      <w:r>
        <w:rPr>
          <w:rFonts w:hint="eastAsia"/>
        </w:rPr>
        <w:t>分布式架构，可满足大规模网运行服务要求；</w:t>
      </w:r>
    </w:p>
    <w:p w:rsidR="00834AFB" w:rsidRDefault="00F04908" w:rsidP="00F0490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一站式安装，安装过程简化</w:t>
      </w:r>
      <w:r>
        <w:rPr>
          <w:rFonts w:hint="eastAsia"/>
        </w:rPr>
        <w:t>,(</w:t>
      </w:r>
      <w:r>
        <w:rPr>
          <w:rFonts w:hint="eastAsia"/>
        </w:rPr>
        <w:t>除数据库等插件外，其余服务一键安装</w:t>
      </w:r>
      <w:r>
        <w:rPr>
          <w:rFonts w:hint="eastAsia"/>
        </w:rPr>
        <w:t>)</w:t>
      </w:r>
      <w:r>
        <w:rPr>
          <w:rFonts w:hint="eastAsia"/>
        </w:rPr>
        <w:t>，中、英文两个语言版本支持。</w:t>
      </w:r>
    </w:p>
    <w:p w:rsidR="00F04908" w:rsidRDefault="00F04908" w:rsidP="00F0490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基站网形图</w:t>
      </w:r>
    </w:p>
    <w:p w:rsidR="00F04908" w:rsidRDefault="00F04908" w:rsidP="00F04908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274310" cy="2653027"/>
            <wp:effectExtent l="0" t="0" r="2540" b="0"/>
            <wp:docPr id="1026" name="Picture 2" descr="主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主页面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04908" w:rsidRDefault="00F04908" w:rsidP="00F04908">
      <w:pPr>
        <w:pStyle w:val="a3"/>
        <w:numPr>
          <w:ilvl w:val="0"/>
          <w:numId w:val="11"/>
        </w:numPr>
        <w:ind w:firstLineChars="0"/>
      </w:pPr>
      <w:r>
        <w:t>基线固定情况</w:t>
      </w:r>
    </w:p>
    <w:p w:rsidR="00327331" w:rsidRDefault="00327331" w:rsidP="00327331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2583435"/>
            <wp:effectExtent l="0" t="0" r="254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46" b="21601"/>
                    <a:stretch/>
                  </pic:blipFill>
                  <pic:spPr>
                    <a:xfrm>
                      <a:off x="0" y="0"/>
                      <a:ext cx="5274310" cy="25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08" w:rsidRDefault="00F04908" w:rsidP="00F0490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卫星跟踪情况</w:t>
      </w:r>
    </w:p>
    <w:p w:rsidR="00327331" w:rsidRDefault="00327331" w:rsidP="00327331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2522390"/>
            <wp:effectExtent l="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433" t="5375" b="21396"/>
                    <a:stretch/>
                  </pic:blipFill>
                  <pic:spPr>
                    <a:xfrm>
                      <a:off x="0" y="0"/>
                      <a:ext cx="5274310" cy="252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08" w:rsidRDefault="00F04908" w:rsidP="00F0490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lastRenderedPageBreak/>
        <w:t>卫星观测个数</w:t>
      </w:r>
    </w:p>
    <w:p w:rsidR="00327331" w:rsidRDefault="00327331" w:rsidP="00327331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2193356"/>
            <wp:effectExtent l="0" t="0" r="2540" b="0"/>
            <wp:docPr id="12290" name="Picture 2" descr="D:\VRS立项\项目开发文档\20161201发布\卫星数显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D:\VRS立项\项目开发文档\20161201发布\卫星数显示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33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04908" w:rsidRDefault="00F04908" w:rsidP="00327331">
      <w:pPr>
        <w:pStyle w:val="2"/>
      </w:pPr>
      <w:r w:rsidRPr="00F04908">
        <w:rPr>
          <w:rFonts w:hint="eastAsia"/>
        </w:rPr>
        <w:t>软件运行参数配置</w:t>
      </w:r>
    </w:p>
    <w:p w:rsidR="00D652CF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静态数据存储：支持页面设置、路径选择、时段、采样间隔、站点名称命名；</w:t>
      </w:r>
    </w:p>
    <w:p w:rsidR="00D652CF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差分数据播发：支持差分端口、差分数据格式配置；</w:t>
      </w:r>
    </w:p>
    <w:p w:rsidR="00D652CF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系统服务重启：界面支持系统开启，关闭</w:t>
      </w:r>
    </w:p>
    <w:p w:rsidR="00D652CF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数据库设置：支持页面配置数据库参数（配套</w:t>
      </w:r>
      <w:r>
        <w:rPr>
          <w:rFonts w:hint="eastAsia"/>
        </w:rPr>
        <w:t>mysql</w:t>
      </w:r>
      <w:r>
        <w:rPr>
          <w:rFonts w:hint="eastAsia"/>
        </w:rPr>
        <w:t>数据库，小免费型数据库）</w:t>
      </w:r>
    </w:p>
    <w:p w:rsidR="00D652CF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精密星历：星历提供机构，存储路径</w:t>
      </w:r>
    </w:p>
    <w:p w:rsidR="00D652CF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FTP</w:t>
      </w:r>
      <w:r>
        <w:rPr>
          <w:rFonts w:hint="eastAsia"/>
        </w:rPr>
        <w:t>文件服务器：用户名，密码</w:t>
      </w:r>
      <w:r>
        <w:rPr>
          <w:rFonts w:hint="eastAsia"/>
        </w:rPr>
        <w:t>,FTP</w:t>
      </w:r>
      <w:r>
        <w:rPr>
          <w:rFonts w:hint="eastAsia"/>
        </w:rPr>
        <w:t>服务器</w:t>
      </w:r>
      <w:r>
        <w:rPr>
          <w:rFonts w:hint="eastAsia"/>
        </w:rPr>
        <w:t>IP</w:t>
      </w:r>
      <w:r>
        <w:rPr>
          <w:rFonts w:hint="eastAsia"/>
        </w:rPr>
        <w:t>等</w:t>
      </w:r>
    </w:p>
    <w:p w:rsidR="00386222" w:rsidRDefault="00D652CF" w:rsidP="00D652CF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邮件报警：邮箱用户名，密码等</w:t>
      </w:r>
    </w:p>
    <w:p w:rsidR="00D652CF" w:rsidRDefault="00386222" w:rsidP="00386222">
      <w:pPr>
        <w:pStyle w:val="a3"/>
        <w:numPr>
          <w:ilvl w:val="0"/>
          <w:numId w:val="14"/>
        </w:numPr>
        <w:ind w:firstLineChars="0"/>
      </w:pPr>
      <w:r>
        <w:t>参数配置</w:t>
      </w:r>
      <w:r>
        <w:rPr>
          <w:rFonts w:hint="eastAsia"/>
        </w:rPr>
        <w:t>：</w:t>
      </w:r>
    </w:p>
    <w:p w:rsidR="00386222" w:rsidRDefault="00386222" w:rsidP="00386222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3242166" cy="2313208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52" cy="231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22" w:rsidRDefault="00386222" w:rsidP="00386222">
      <w:pPr>
        <w:pStyle w:val="a3"/>
        <w:numPr>
          <w:ilvl w:val="0"/>
          <w:numId w:val="14"/>
        </w:numPr>
        <w:ind w:firstLineChars="0"/>
      </w:pPr>
      <w:r>
        <w:t>精密星历</w:t>
      </w:r>
      <w:r>
        <w:rPr>
          <w:rFonts w:hint="eastAsia"/>
        </w:rPr>
        <w:t>：</w:t>
      </w:r>
    </w:p>
    <w:p w:rsidR="00386222" w:rsidRDefault="00386222" w:rsidP="00386222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2966999" cy="1601470"/>
            <wp:effectExtent l="0" t="0" r="508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99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22" w:rsidRDefault="00386222" w:rsidP="00386222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274310" cy="2814797"/>
            <wp:effectExtent l="0" t="0" r="2540" b="50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22" w:rsidRDefault="00386222" w:rsidP="00386222">
      <w:pPr>
        <w:pStyle w:val="a3"/>
        <w:numPr>
          <w:ilvl w:val="0"/>
          <w:numId w:val="14"/>
        </w:numPr>
        <w:ind w:firstLineChars="0"/>
      </w:pPr>
      <w:r w:rsidRPr="00386222">
        <w:rPr>
          <w:rFonts w:hint="eastAsia"/>
        </w:rPr>
        <w:t>FTP</w:t>
      </w:r>
      <w:r w:rsidRPr="00386222">
        <w:rPr>
          <w:rFonts w:hint="eastAsia"/>
        </w:rPr>
        <w:t>服务器文件上传</w:t>
      </w:r>
      <w:r>
        <w:rPr>
          <w:rFonts w:hint="eastAsia"/>
        </w:rPr>
        <w:t>：</w:t>
      </w:r>
    </w:p>
    <w:p w:rsidR="00386222" w:rsidRDefault="00386222" w:rsidP="00386222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5251842" cy="2664296"/>
            <wp:effectExtent l="0" t="0" r="635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842" cy="266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22" w:rsidRDefault="00386222" w:rsidP="00386222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邮件报警：</w:t>
      </w:r>
    </w:p>
    <w:p w:rsidR="00386222" w:rsidRDefault="00DF29D8" w:rsidP="00386222">
      <w:pPr>
        <w:pStyle w:val="a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4485715" cy="2561905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D8" w:rsidRDefault="00DF29D8" w:rsidP="00DF29D8">
      <w:pPr>
        <w:pStyle w:val="a3"/>
        <w:numPr>
          <w:ilvl w:val="0"/>
          <w:numId w:val="14"/>
        </w:numPr>
        <w:ind w:firstLineChars="0"/>
      </w:pPr>
      <w:r w:rsidRPr="00DF29D8">
        <w:rPr>
          <w:rFonts w:hint="eastAsia"/>
        </w:rPr>
        <w:t>用户虚拟观测值保存</w:t>
      </w:r>
      <w:r>
        <w:rPr>
          <w:rFonts w:hint="eastAsia"/>
        </w:rPr>
        <w:t>：</w:t>
      </w:r>
    </w:p>
    <w:p w:rsidR="009C34F5" w:rsidRDefault="009C34F5" w:rsidP="009C34F5">
      <w:pPr>
        <w:pStyle w:val="2"/>
      </w:pPr>
      <w:r w:rsidRPr="009C34F5">
        <w:rPr>
          <w:rFonts w:hint="eastAsia"/>
        </w:rPr>
        <w:t>基站管理</w:t>
      </w:r>
    </w:p>
    <w:p w:rsidR="009C34F5" w:rsidRDefault="009C34F5" w:rsidP="009C34F5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支持选择天线类型，支持天线</w:t>
      </w:r>
      <w:r>
        <w:rPr>
          <w:rFonts w:hint="eastAsia"/>
        </w:rPr>
        <w:t>PCO\PCV</w:t>
      </w:r>
      <w:r>
        <w:rPr>
          <w:rFonts w:hint="eastAsia"/>
        </w:rPr>
        <w:t>改正；</w:t>
      </w:r>
    </w:p>
    <w:p w:rsidR="009C34F5" w:rsidRDefault="009C34F5" w:rsidP="009C34F5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基站支持</w:t>
      </w:r>
      <w:r>
        <w:rPr>
          <w:rFonts w:hint="eastAsia"/>
        </w:rPr>
        <w:t>TCP Client\NTRIP</w:t>
      </w:r>
      <w:r>
        <w:rPr>
          <w:rFonts w:hint="eastAsia"/>
        </w:rPr>
        <w:t>协议；</w:t>
      </w:r>
    </w:p>
    <w:p w:rsidR="009C34F5" w:rsidRDefault="009C34F5" w:rsidP="009C34F5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支持基站掉线自动重连；</w:t>
      </w:r>
    </w:p>
    <w:p w:rsidR="009C34F5" w:rsidRDefault="009C34F5" w:rsidP="009C34F5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基站数据类型、通信协议、天线类型等。</w:t>
      </w:r>
    </w:p>
    <w:p w:rsidR="009C34F5" w:rsidRDefault="009C34F5" w:rsidP="009C34F5">
      <w:pPr>
        <w:pStyle w:val="a3"/>
        <w:numPr>
          <w:ilvl w:val="0"/>
          <w:numId w:val="17"/>
        </w:numPr>
        <w:ind w:firstLineChars="0"/>
      </w:pPr>
      <w:r w:rsidRPr="009C34F5">
        <w:rPr>
          <w:rFonts w:hint="eastAsia"/>
        </w:rPr>
        <w:t>基站编辑：</w:t>
      </w:r>
    </w:p>
    <w:p w:rsidR="009C34F5" w:rsidRPr="009C34F5" w:rsidRDefault="009C34F5" w:rsidP="009C34F5">
      <w:pPr>
        <w:pStyle w:val="a3"/>
        <w:ind w:left="900" w:firstLineChars="0" w:firstLine="0"/>
      </w:pPr>
      <w:r>
        <w:rPr>
          <w:noProof/>
        </w:rPr>
        <w:drawing>
          <wp:inline distT="0" distB="0" distL="0" distR="0">
            <wp:extent cx="5058183" cy="3561909"/>
            <wp:effectExtent l="0" t="0" r="9525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183" cy="356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D8" w:rsidRDefault="00436946" w:rsidP="00436946">
      <w:pPr>
        <w:pStyle w:val="2"/>
      </w:pPr>
      <w:r>
        <w:lastRenderedPageBreak/>
        <w:t>用户管理</w:t>
      </w:r>
    </w:p>
    <w:p w:rsidR="00436946" w:rsidRDefault="00436946" w:rsidP="00436946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用户注册：用户名、密码、单位、权限、到期时间；</w:t>
      </w:r>
      <w:r>
        <w:rPr>
          <w:rFonts w:hint="eastAsia"/>
        </w:rPr>
        <w:t xml:space="preserve"> </w:t>
      </w:r>
    </w:p>
    <w:p w:rsidR="00436946" w:rsidRDefault="00436946" w:rsidP="00436946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用户查询：分单位、分挂载点查询显示，用户到期时间能控制并显示；</w:t>
      </w:r>
    </w:p>
    <w:p w:rsidR="00436946" w:rsidRDefault="00436946" w:rsidP="00436946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用户信息显示：括移动站上线时间，在线时间，差分延迟，登录时间、固定状态、单位、源列表，注册时间等信息。</w:t>
      </w:r>
    </w:p>
    <w:p w:rsidR="002626DD" w:rsidRDefault="002626DD" w:rsidP="002626DD">
      <w:pPr>
        <w:pStyle w:val="a3"/>
        <w:numPr>
          <w:ilvl w:val="0"/>
          <w:numId w:val="20"/>
        </w:numPr>
        <w:ind w:firstLineChars="0"/>
      </w:pPr>
      <w:r w:rsidRPr="002626DD">
        <w:rPr>
          <w:rFonts w:hint="eastAsia"/>
        </w:rPr>
        <w:t>用户编辑：</w:t>
      </w:r>
    </w:p>
    <w:p w:rsidR="002626DD" w:rsidRDefault="002626DD" w:rsidP="002626DD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2446083"/>
            <wp:effectExtent l="0" t="0" r="2540" b="0"/>
            <wp:docPr id="4099" name="Picture 3" descr="D:\VRS立项\项目开发文档\20161201发布\用户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:\VRS立项\项目开发文档\20161201发布\用户注册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60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626DD" w:rsidRDefault="002626DD" w:rsidP="002626DD">
      <w:pPr>
        <w:pStyle w:val="a3"/>
        <w:numPr>
          <w:ilvl w:val="0"/>
          <w:numId w:val="20"/>
        </w:numPr>
        <w:ind w:firstLineChars="0"/>
      </w:pPr>
      <w:r>
        <w:t>用户查看</w:t>
      </w:r>
      <w:r>
        <w:rPr>
          <w:rFonts w:hint="eastAsia"/>
        </w:rPr>
        <w:t>：</w:t>
      </w:r>
    </w:p>
    <w:p w:rsidR="002626DD" w:rsidRDefault="002626DD" w:rsidP="002626DD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1646391"/>
            <wp:effectExtent l="0" t="0" r="2540" b="0"/>
            <wp:docPr id="4098" name="Picture 2" descr="D:\VRS立项\项目开发文档\20161201发布\用户显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VRS立项\项目开发文档\20161201发布\用户显示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63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54EDA" w:rsidRDefault="00D1650B" w:rsidP="00B54EDA">
      <w:pPr>
        <w:pStyle w:val="2"/>
      </w:pPr>
      <w:r>
        <w:rPr>
          <w:rFonts w:hint="eastAsia"/>
        </w:rPr>
        <w:t>数据格式</w:t>
      </w:r>
    </w:p>
    <w:p w:rsidR="00B54EDA" w:rsidRDefault="00B54EDA" w:rsidP="00B54EDA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基准站支持格式：</w:t>
      </w:r>
    </w:p>
    <w:p w:rsidR="00B54EDA" w:rsidRDefault="00B54EDA" w:rsidP="00B54EDA">
      <w:pPr>
        <w:pStyle w:val="a3"/>
        <w:ind w:firstLineChars="0" w:firstLine="0"/>
      </w:pPr>
      <w:r>
        <w:rPr>
          <w:rFonts w:hint="eastAsia"/>
        </w:rPr>
        <w:t xml:space="preserve">     RTCM31</w:t>
      </w:r>
      <w:r>
        <w:rPr>
          <w:rFonts w:hint="eastAsia"/>
        </w:rPr>
        <w:t>、</w:t>
      </w:r>
      <w:r>
        <w:rPr>
          <w:rFonts w:hint="eastAsia"/>
        </w:rPr>
        <w:t>RTCM32</w:t>
      </w:r>
      <w:r>
        <w:rPr>
          <w:rFonts w:hint="eastAsia"/>
        </w:rPr>
        <w:t>、</w:t>
      </w:r>
      <w:r>
        <w:rPr>
          <w:rFonts w:hint="eastAsia"/>
        </w:rPr>
        <w:t>RT27</w:t>
      </w:r>
      <w:r>
        <w:rPr>
          <w:rFonts w:hint="eastAsia"/>
        </w:rPr>
        <w:t>、</w:t>
      </w:r>
      <w:r>
        <w:rPr>
          <w:rFonts w:hint="eastAsia"/>
        </w:rPr>
        <w:t>SOUTH</w:t>
      </w:r>
      <w:r>
        <w:rPr>
          <w:rFonts w:hint="eastAsia"/>
        </w:rPr>
        <w:t>、</w:t>
      </w:r>
      <w:r>
        <w:rPr>
          <w:rFonts w:hint="eastAsia"/>
        </w:rPr>
        <w:t>Binex</w:t>
      </w:r>
      <w:r>
        <w:rPr>
          <w:rFonts w:hint="eastAsia"/>
        </w:rPr>
        <w:t>、</w:t>
      </w:r>
      <w:r>
        <w:rPr>
          <w:rFonts w:hint="eastAsia"/>
        </w:rPr>
        <w:t>OEM4</w:t>
      </w:r>
    </w:p>
    <w:p w:rsidR="00B54EDA" w:rsidRDefault="00B54EDA" w:rsidP="00B54EDA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流动站支持格式：</w:t>
      </w:r>
    </w:p>
    <w:p w:rsidR="00B54EDA" w:rsidRDefault="00B54EDA" w:rsidP="00B54EDA">
      <w:pPr>
        <w:pStyle w:val="a3"/>
        <w:ind w:firstLineChars="0" w:firstLine="0"/>
      </w:pPr>
      <w:r>
        <w:rPr>
          <w:rFonts w:hint="eastAsia"/>
        </w:rPr>
        <w:t xml:space="preserve">     RTCM23</w:t>
      </w:r>
      <w:r>
        <w:rPr>
          <w:rFonts w:hint="eastAsia"/>
        </w:rPr>
        <w:t>、</w:t>
      </w:r>
      <w:r>
        <w:rPr>
          <w:rFonts w:hint="eastAsia"/>
        </w:rPr>
        <w:t>RTCM31</w:t>
      </w:r>
      <w:r>
        <w:rPr>
          <w:rFonts w:hint="eastAsia"/>
        </w:rPr>
        <w:t>、</w:t>
      </w:r>
      <w:r>
        <w:rPr>
          <w:rFonts w:hint="eastAsia"/>
        </w:rPr>
        <w:t>RTCM32</w:t>
      </w:r>
    </w:p>
    <w:p w:rsidR="009F59E0" w:rsidRDefault="009F59E0" w:rsidP="009F59E0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源列表：</w:t>
      </w:r>
    </w:p>
    <w:p w:rsidR="009F59E0" w:rsidRDefault="009F59E0" w:rsidP="00B54EDA">
      <w:pPr>
        <w:pStyle w:val="a3"/>
        <w:ind w:firstLineChars="0" w:firstLine="0"/>
      </w:pPr>
    </w:p>
    <w:p w:rsidR="009F59E0" w:rsidRDefault="009F59E0" w:rsidP="00B54EDA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2552913"/>
            <wp:effectExtent l="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50B" w:rsidRDefault="00D1650B" w:rsidP="00D1650B">
      <w:pPr>
        <w:pStyle w:val="2"/>
      </w:pPr>
      <w:r>
        <w:rPr>
          <w:rFonts w:hint="eastAsia"/>
        </w:rPr>
        <w:t>工作模式</w:t>
      </w:r>
    </w:p>
    <w:p w:rsidR="00D1650B" w:rsidRDefault="00D1650B" w:rsidP="00D1650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支持单基站转发；</w:t>
      </w:r>
    </w:p>
    <w:p w:rsidR="00D1650B" w:rsidRDefault="00D1650B" w:rsidP="00D1650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支持</w:t>
      </w:r>
      <w:r>
        <w:rPr>
          <w:rFonts w:hint="eastAsia"/>
        </w:rPr>
        <w:t>VRS</w:t>
      </w:r>
      <w:r>
        <w:rPr>
          <w:rFonts w:hint="eastAsia"/>
        </w:rPr>
        <w:t>、</w:t>
      </w:r>
      <w:r>
        <w:rPr>
          <w:rFonts w:hint="eastAsia"/>
        </w:rPr>
        <w:t>SRTK</w:t>
      </w:r>
      <w:r>
        <w:rPr>
          <w:rFonts w:hint="eastAsia"/>
        </w:rPr>
        <w:t>、</w:t>
      </w:r>
      <w:r>
        <w:rPr>
          <w:rFonts w:hint="eastAsia"/>
        </w:rPr>
        <w:t>RTD</w:t>
      </w:r>
      <w:r>
        <w:rPr>
          <w:rFonts w:hint="eastAsia"/>
        </w:rPr>
        <w:t>等模式</w:t>
      </w:r>
    </w:p>
    <w:p w:rsidR="00D1650B" w:rsidRDefault="00D1650B" w:rsidP="00D1650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VRS</w:t>
      </w:r>
      <w:r>
        <w:rPr>
          <w:rFonts w:hint="eastAsia"/>
        </w:rPr>
        <w:t>模式支持基站数大于</w:t>
      </w:r>
      <w:r>
        <w:rPr>
          <w:rFonts w:hint="eastAsia"/>
        </w:rPr>
        <w:t>100</w:t>
      </w:r>
      <w:r>
        <w:rPr>
          <w:rFonts w:hint="eastAsia"/>
        </w:rPr>
        <w:t>，用户数大于</w:t>
      </w:r>
      <w:r>
        <w:rPr>
          <w:rFonts w:hint="eastAsia"/>
        </w:rPr>
        <w:t>1000</w:t>
      </w:r>
    </w:p>
    <w:p w:rsidR="00D1650B" w:rsidRDefault="00D1650B" w:rsidP="00D1650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支持双星、三星服务</w:t>
      </w:r>
    </w:p>
    <w:p w:rsidR="00EA05D7" w:rsidRDefault="00EA05D7" w:rsidP="00EA05D7">
      <w:pPr>
        <w:pStyle w:val="2"/>
      </w:pPr>
      <w:r>
        <w:rPr>
          <w:rFonts w:hint="eastAsia"/>
        </w:rPr>
        <w:t>权限管理</w:t>
      </w:r>
    </w:p>
    <w:p w:rsidR="00EA05D7" w:rsidRDefault="00EA05D7" w:rsidP="00EA05D7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加密狗和注册码配合使用</w:t>
      </w:r>
      <w:r>
        <w:rPr>
          <w:rFonts w:hint="eastAsia"/>
        </w:rPr>
        <w:t xml:space="preserve">    </w:t>
      </w:r>
    </w:p>
    <w:p w:rsidR="00EA05D7" w:rsidRDefault="00EA05D7" w:rsidP="00EA05D7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永久注册码必须配合加密狗才可以使用</w:t>
      </w:r>
    </w:p>
    <w:p w:rsidR="00EA05D7" w:rsidRDefault="00EA05D7" w:rsidP="00EA05D7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注册码可以对基准站个数，流动站个数，服务到期时间等设置不同的权限</w:t>
      </w:r>
    </w:p>
    <w:p w:rsidR="00D82273" w:rsidRDefault="009F1EFB" w:rsidP="00DF04CB">
      <w:pPr>
        <w:pStyle w:val="a3"/>
        <w:numPr>
          <w:ilvl w:val="0"/>
          <w:numId w:val="26"/>
        </w:numPr>
        <w:ind w:firstLineChars="0"/>
      </w:pPr>
      <w:r w:rsidRPr="009F1EFB">
        <w:rPr>
          <w:rFonts w:hint="eastAsia"/>
        </w:rPr>
        <w:t>二维码注册</w:t>
      </w:r>
    </w:p>
    <w:p w:rsidR="009F1EFB" w:rsidRDefault="009F1EFB" w:rsidP="009F1EFB">
      <w:pPr>
        <w:pStyle w:val="a3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007572" cy="3115313"/>
            <wp:effectExtent l="0" t="0" r="3175" b="8890"/>
            <wp:docPr id="6146" name="Picture 2" descr="D:\VRS立项\项目开发文档\20161201发布\输入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D:\VRS立项\项目开发文档\20161201发布\输入二维码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572" cy="31153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F04CB" w:rsidRDefault="00DF04CB" w:rsidP="00DF04CB">
      <w:pPr>
        <w:pStyle w:val="a3"/>
        <w:numPr>
          <w:ilvl w:val="0"/>
          <w:numId w:val="26"/>
        </w:numPr>
        <w:ind w:firstLineChars="0"/>
      </w:pPr>
      <w:r w:rsidRPr="00DF04CB">
        <w:rPr>
          <w:rFonts w:hint="eastAsia"/>
        </w:rPr>
        <w:t>注册信息：</w:t>
      </w:r>
    </w:p>
    <w:p w:rsidR="00DF04CB" w:rsidRDefault="00DF04CB" w:rsidP="00DF04CB">
      <w:pPr>
        <w:pStyle w:val="a3"/>
        <w:ind w:firstLineChars="0" w:firstLine="0"/>
      </w:pPr>
      <w:r>
        <w:rPr>
          <w:noProof/>
        </w:rPr>
        <w:drawing>
          <wp:inline distT="0" distB="0" distL="0" distR="0">
            <wp:extent cx="5274310" cy="1916211"/>
            <wp:effectExtent l="0" t="0" r="2540" b="8255"/>
            <wp:docPr id="7171" name="Picture 3" descr="D:\VRS立项\项目开发文档\20161201发布\注册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D:\VRS立项\项目开发文档\20161201发布\注册信息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62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04CB" w:rsidRDefault="00DF04CB" w:rsidP="00DF04CB">
      <w:pPr>
        <w:pStyle w:val="2"/>
      </w:pPr>
      <w:r w:rsidRPr="00DF04CB">
        <w:rPr>
          <w:rFonts w:hint="eastAsia"/>
        </w:rPr>
        <w:t>完好性监测显示</w:t>
      </w:r>
    </w:p>
    <w:p w:rsidR="00DF04CB" w:rsidRDefault="00DF04CB" w:rsidP="00DF04CB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新增多路径、对流层、电离层、数据使用率等统计信息；</w:t>
      </w:r>
    </w:p>
    <w:p w:rsidR="00DF04CB" w:rsidRDefault="00DF04CB" w:rsidP="00DF04CB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网元、基线等固定状态更新；</w:t>
      </w:r>
    </w:p>
    <w:p w:rsidR="00DF04CB" w:rsidRDefault="00DF04CB" w:rsidP="00DF04CB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用户日志，分用户、分天保存用户日志；</w:t>
      </w:r>
    </w:p>
    <w:p w:rsidR="00DF04CB" w:rsidRDefault="00DF04CB" w:rsidP="00DF04CB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系统日志。</w:t>
      </w:r>
    </w:p>
    <w:p w:rsidR="00DF04CB" w:rsidRDefault="00DF04CB" w:rsidP="00DF04CB">
      <w:pPr>
        <w:pStyle w:val="a3"/>
        <w:ind w:left="900" w:firstLineChars="0" w:firstLine="0"/>
      </w:pPr>
      <w:r>
        <w:rPr>
          <w:rFonts w:hint="eastAsia"/>
        </w:rPr>
        <w:t>用户日志：</w:t>
      </w:r>
    </w:p>
    <w:p w:rsidR="00DF04CB" w:rsidRPr="00DF04CB" w:rsidRDefault="00DF04CB" w:rsidP="00DF04CB">
      <w:pPr>
        <w:pStyle w:val="a3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4245996" cy="1253650"/>
            <wp:effectExtent l="0" t="0" r="2540" b="3810"/>
            <wp:docPr id="12" name="Picture 2" descr="D:\VRS立项\项目开发文档\20161201发布\分用户日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D:\VRS立项\项目开发文档\20161201发布\分用户日志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060" cy="1260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DF04CB" w:rsidRPr="00DF04CB" w:rsidSect="00B0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50F0"/>
    <w:multiLevelType w:val="hybridMultilevel"/>
    <w:tmpl w:val="76B2155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3AD5886"/>
    <w:multiLevelType w:val="hybridMultilevel"/>
    <w:tmpl w:val="9822CF3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A9250BF"/>
    <w:multiLevelType w:val="hybridMultilevel"/>
    <w:tmpl w:val="0DFE1536"/>
    <w:lvl w:ilvl="0" w:tplc="5016E46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250A82"/>
    <w:multiLevelType w:val="hybridMultilevel"/>
    <w:tmpl w:val="EC74D2CA"/>
    <w:lvl w:ilvl="0" w:tplc="35F0BD7A">
      <w:start w:val="1"/>
      <w:numFmt w:val="lowerLetter"/>
      <w:lvlText w:val="%1)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71" w:hanging="420"/>
      </w:pPr>
    </w:lvl>
    <w:lvl w:ilvl="2" w:tplc="5016E468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8E2CD8"/>
    <w:multiLevelType w:val="hybridMultilevel"/>
    <w:tmpl w:val="149054A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5FF1832"/>
    <w:multiLevelType w:val="hybridMultilevel"/>
    <w:tmpl w:val="F7BEDDD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6D8558D"/>
    <w:multiLevelType w:val="hybridMultilevel"/>
    <w:tmpl w:val="130057E2"/>
    <w:lvl w:ilvl="0" w:tplc="EBB2B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B405A6"/>
    <w:multiLevelType w:val="hybridMultilevel"/>
    <w:tmpl w:val="149054A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AD610F4"/>
    <w:multiLevelType w:val="hybridMultilevel"/>
    <w:tmpl w:val="4910824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E372A10"/>
    <w:multiLevelType w:val="multilevel"/>
    <w:tmpl w:val="7A28CAD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5E4C5360"/>
    <w:multiLevelType w:val="hybridMultilevel"/>
    <w:tmpl w:val="A7F62390"/>
    <w:lvl w:ilvl="0" w:tplc="0409000B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11">
    <w:nsid w:val="5F7F538F"/>
    <w:multiLevelType w:val="hybridMultilevel"/>
    <w:tmpl w:val="A86E0A7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5412878"/>
    <w:multiLevelType w:val="hybridMultilevel"/>
    <w:tmpl w:val="E29872F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FF96287"/>
    <w:multiLevelType w:val="hybridMultilevel"/>
    <w:tmpl w:val="1F14C89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714D7056"/>
    <w:multiLevelType w:val="hybridMultilevel"/>
    <w:tmpl w:val="D3A4D8D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7385087C"/>
    <w:multiLevelType w:val="hybridMultilevel"/>
    <w:tmpl w:val="83ACED9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75F911CD"/>
    <w:multiLevelType w:val="hybridMultilevel"/>
    <w:tmpl w:val="5942CD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7662520C"/>
    <w:multiLevelType w:val="hybridMultilevel"/>
    <w:tmpl w:val="2912062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81348FD"/>
    <w:multiLevelType w:val="multilevel"/>
    <w:tmpl w:val="5EA65A7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8"/>
  </w:num>
  <w:num w:numId="5">
    <w:abstractNumId w:val="18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18"/>
  </w:num>
  <w:num w:numId="11">
    <w:abstractNumId w:val="16"/>
  </w:num>
  <w:num w:numId="12">
    <w:abstractNumId w:val="18"/>
  </w:num>
  <w:num w:numId="13">
    <w:abstractNumId w:val="12"/>
  </w:num>
  <w:num w:numId="14">
    <w:abstractNumId w:val="5"/>
  </w:num>
  <w:num w:numId="15">
    <w:abstractNumId w:val="18"/>
  </w:num>
  <w:num w:numId="16">
    <w:abstractNumId w:val="14"/>
  </w:num>
  <w:num w:numId="17">
    <w:abstractNumId w:val="15"/>
  </w:num>
  <w:num w:numId="18">
    <w:abstractNumId w:val="18"/>
  </w:num>
  <w:num w:numId="19">
    <w:abstractNumId w:val="0"/>
  </w:num>
  <w:num w:numId="20">
    <w:abstractNumId w:val="17"/>
  </w:num>
  <w:num w:numId="21">
    <w:abstractNumId w:val="18"/>
  </w:num>
  <w:num w:numId="22">
    <w:abstractNumId w:val="7"/>
  </w:num>
  <w:num w:numId="23">
    <w:abstractNumId w:val="18"/>
  </w:num>
  <w:num w:numId="24">
    <w:abstractNumId w:val="10"/>
  </w:num>
  <w:num w:numId="25">
    <w:abstractNumId w:val="18"/>
  </w:num>
  <w:num w:numId="26">
    <w:abstractNumId w:val="4"/>
  </w:num>
  <w:num w:numId="27">
    <w:abstractNumId w:val="1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AE3"/>
    <w:rsid w:val="0001743B"/>
    <w:rsid w:val="0017766A"/>
    <w:rsid w:val="00241910"/>
    <w:rsid w:val="002626DD"/>
    <w:rsid w:val="002C4C19"/>
    <w:rsid w:val="00305C7F"/>
    <w:rsid w:val="00327331"/>
    <w:rsid w:val="00386222"/>
    <w:rsid w:val="00436946"/>
    <w:rsid w:val="00566195"/>
    <w:rsid w:val="00595250"/>
    <w:rsid w:val="00641567"/>
    <w:rsid w:val="006B705B"/>
    <w:rsid w:val="00787D01"/>
    <w:rsid w:val="007D53E9"/>
    <w:rsid w:val="00834AFB"/>
    <w:rsid w:val="0084303E"/>
    <w:rsid w:val="009318CC"/>
    <w:rsid w:val="009436B1"/>
    <w:rsid w:val="009572C1"/>
    <w:rsid w:val="00961EDB"/>
    <w:rsid w:val="00991E54"/>
    <w:rsid w:val="009A2D6E"/>
    <w:rsid w:val="009B0072"/>
    <w:rsid w:val="009C34F5"/>
    <w:rsid w:val="009E654F"/>
    <w:rsid w:val="009F1EFB"/>
    <w:rsid w:val="009F59E0"/>
    <w:rsid w:val="00A77507"/>
    <w:rsid w:val="00AA76A4"/>
    <w:rsid w:val="00B04EF2"/>
    <w:rsid w:val="00B54EDA"/>
    <w:rsid w:val="00BA2A9E"/>
    <w:rsid w:val="00C61A58"/>
    <w:rsid w:val="00CA377E"/>
    <w:rsid w:val="00CE61A1"/>
    <w:rsid w:val="00D1650B"/>
    <w:rsid w:val="00D652CF"/>
    <w:rsid w:val="00D82273"/>
    <w:rsid w:val="00D91AE3"/>
    <w:rsid w:val="00DF04CB"/>
    <w:rsid w:val="00DF29D8"/>
    <w:rsid w:val="00E16CD2"/>
    <w:rsid w:val="00E33EB7"/>
    <w:rsid w:val="00E562A0"/>
    <w:rsid w:val="00E82F0C"/>
    <w:rsid w:val="00EA05D7"/>
    <w:rsid w:val="00EA1EE8"/>
    <w:rsid w:val="00EC5978"/>
    <w:rsid w:val="00F026C3"/>
    <w:rsid w:val="00F04908"/>
    <w:rsid w:val="00F4731A"/>
    <w:rsid w:val="00FA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A1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91E54"/>
    <w:pPr>
      <w:keepNext/>
      <w:keepLines/>
      <w:numPr>
        <w:numId w:val="2"/>
      </w:numPr>
      <w:spacing w:line="480" w:lineRule="auto"/>
      <w:ind w:left="0" w:firstLineChars="0" w:firstLine="0"/>
      <w:outlineLvl w:val="0"/>
    </w:pPr>
    <w:rPr>
      <w:rFonts w:asciiTheme="majorEastAsia" w:eastAsiaTheme="majorEastAsia" w:hAnsiTheme="majorEastAsia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E54"/>
    <w:pPr>
      <w:keepNext/>
      <w:keepLines/>
      <w:numPr>
        <w:ilvl w:val="1"/>
        <w:numId w:val="3"/>
      </w:numPr>
      <w:spacing w:before="120" w:after="120" w:line="48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1E54"/>
    <w:rPr>
      <w:rFonts w:asciiTheme="majorEastAsia" w:eastAsiaTheme="majorEastAsia" w:hAnsiTheme="majorEastAsia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991E54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E16CD2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74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743B"/>
    <w:rPr>
      <w:rFonts w:ascii="Times New Roman" w:eastAsia="仿宋" w:hAnsi="Times New Roman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01743B"/>
    <w:rPr>
      <w:rFonts w:asciiTheme="majorHAnsi" w:eastAsia="黑体" w:hAnsiTheme="majorHAnsi" w:cstheme="majorBidi"/>
      <w:sz w:val="20"/>
      <w:szCs w:val="20"/>
    </w:rPr>
  </w:style>
  <w:style w:type="paragraph" w:styleId="a6">
    <w:name w:val="Normal (Web)"/>
    <w:basedOn w:val="a"/>
    <w:uiPriority w:val="99"/>
    <w:unhideWhenUsed/>
    <w:rsid w:val="00787D0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A1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91E54"/>
    <w:pPr>
      <w:keepNext/>
      <w:keepLines/>
      <w:numPr>
        <w:numId w:val="2"/>
      </w:numPr>
      <w:spacing w:line="480" w:lineRule="auto"/>
      <w:ind w:left="0" w:firstLineChars="0" w:firstLine="0"/>
      <w:outlineLvl w:val="0"/>
    </w:pPr>
    <w:rPr>
      <w:rFonts w:asciiTheme="majorEastAsia" w:eastAsiaTheme="majorEastAsia" w:hAnsiTheme="majorEastAsia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E54"/>
    <w:pPr>
      <w:keepNext/>
      <w:keepLines/>
      <w:numPr>
        <w:ilvl w:val="1"/>
        <w:numId w:val="3"/>
      </w:numPr>
      <w:spacing w:before="120" w:after="120" w:line="48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1E54"/>
    <w:rPr>
      <w:rFonts w:asciiTheme="majorEastAsia" w:eastAsiaTheme="majorEastAsia" w:hAnsiTheme="majorEastAsia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991E54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E16CD2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74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743B"/>
    <w:rPr>
      <w:rFonts w:ascii="Times New Roman" w:eastAsia="仿宋" w:hAnsi="Times New Roman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01743B"/>
    <w:rPr>
      <w:rFonts w:asciiTheme="majorHAnsi" w:eastAsia="黑体" w:hAnsiTheme="majorHAnsi" w:cstheme="majorBidi"/>
      <w:sz w:val="20"/>
      <w:szCs w:val="20"/>
    </w:rPr>
  </w:style>
  <w:style w:type="paragraph" w:styleId="a6">
    <w:name w:val="Normal (Web)"/>
    <w:basedOn w:val="a"/>
    <w:uiPriority w:val="99"/>
    <w:unhideWhenUsed/>
    <w:rsid w:val="00787D0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20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EA3D-87E8-4DFE-BDA6-B324223E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</Words>
  <Characters>2148</Characters>
  <Application>Microsoft Office Word</Application>
  <DocSecurity>0</DocSecurity>
  <Lines>17</Lines>
  <Paragraphs>5</Paragraphs>
  <ScaleCrop>false</ScaleCrop>
  <Company>User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comnavyjq</dc:creator>
  <cp:lastModifiedBy>dreamsummit</cp:lastModifiedBy>
  <cp:revision>3</cp:revision>
  <dcterms:created xsi:type="dcterms:W3CDTF">2017-02-21T01:47:00Z</dcterms:created>
  <dcterms:modified xsi:type="dcterms:W3CDTF">2017-03-18T07:00:00Z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