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150" w:afterLines="100"/>
        <w:ind w:firstLine="0" w:firstLineChars="0"/>
        <w:jc w:val="center"/>
        <w:rPr>
          <w:rFonts w:ascii="黑体" w:eastAsia="黑体"/>
          <w:sz w:val="48"/>
          <w:szCs w:val="48"/>
        </w:rPr>
      </w:pPr>
      <w:r>
        <w:rPr>
          <w:rFonts w:hint="eastAsia" w:ascii="黑体" w:eastAsia="黑体"/>
          <w:sz w:val="48"/>
          <w:szCs w:val="48"/>
        </w:rPr>
        <w:t>地基增强系统应用简述</w:t>
      </w:r>
    </w:p>
    <w:p>
      <w:pPr>
        <w:pStyle w:val="2"/>
      </w:pPr>
      <w:r>
        <w:rPr>
          <w:rFonts w:hint="eastAsia"/>
        </w:rPr>
        <w:t>背景</w:t>
      </w:r>
    </w:p>
    <w:p>
      <w:pPr>
        <w:spacing w:before="156"/>
        <w:ind w:firstLine="480"/>
      </w:pPr>
      <w:r>
        <w:rPr>
          <w:rFonts w:hint="eastAsia"/>
        </w:rPr>
        <w:t>地基增强系统，即ground-based augmentation systems（缩写：GBAS），通过提供差分修正信号，可达到提高卫星导航精度的目的；优化后的定位精度可以从毫米级至亚米级不等；该系统是卫星定位技术、计算机网络技术、数字通讯技术等高新科技多方位、深度结</w:t>
      </w:r>
      <w:r>
        <w:rPr>
          <w:rFonts w:hint="eastAsia"/>
          <w:lang w:eastAsia="zh-CN"/>
        </w:rPr>
        <w:t>合</w:t>
      </w:r>
      <w:r>
        <w:rPr>
          <w:rFonts w:hint="eastAsia"/>
        </w:rPr>
        <w:t>的产物。</w:t>
      </w:r>
    </w:p>
    <w:p>
      <w:pPr>
        <w:spacing w:before="156"/>
        <w:ind w:firstLine="480"/>
      </w:pPr>
      <w:r>
        <w:rPr>
          <w:rFonts w:hint="eastAsia"/>
        </w:rPr>
        <w:t>鉴于GBAS存在的诸多优势，在国内外得到了大力的发展，简述如下；</w:t>
      </w:r>
    </w:p>
    <w:tbl>
      <w:tblPr>
        <w:tblStyle w:val="13"/>
        <w:tblW w:w="823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7"/>
        <w:gridCol w:w="1087"/>
        <w:gridCol w:w="1442"/>
        <w:gridCol w:w="3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7" w:type="dxa"/>
          </w:tcPr>
          <w:p>
            <w:pPr>
              <w:pStyle w:val="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系统名称</w:t>
            </w:r>
          </w:p>
        </w:tc>
        <w:tc>
          <w:tcPr>
            <w:tcW w:w="1087" w:type="dxa"/>
          </w:tcPr>
          <w:p>
            <w:pPr>
              <w:pStyle w:val="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所述国家</w:t>
            </w:r>
          </w:p>
        </w:tc>
        <w:tc>
          <w:tcPr>
            <w:tcW w:w="1442" w:type="dxa"/>
          </w:tcPr>
          <w:p>
            <w:pPr>
              <w:pStyle w:val="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参考站数量</w:t>
            </w:r>
          </w:p>
        </w:tc>
        <w:tc>
          <w:tcPr>
            <w:tcW w:w="3606" w:type="dxa"/>
          </w:tcPr>
          <w:p>
            <w:pPr>
              <w:pStyle w:val="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7" w:type="dxa"/>
          </w:tcPr>
          <w:p>
            <w:pPr>
              <w:pStyle w:val="20"/>
            </w:pPr>
            <w:r>
              <w:t>美国CORS</w:t>
            </w:r>
            <w:r>
              <w:rPr>
                <w:rFonts w:hint="eastAsia"/>
              </w:rPr>
              <w:t>系统</w:t>
            </w:r>
          </w:p>
        </w:tc>
        <w:tc>
          <w:tcPr>
            <w:tcW w:w="1087" w:type="dxa"/>
          </w:tcPr>
          <w:p>
            <w:pPr>
              <w:pStyle w:val="20"/>
            </w:pPr>
            <w:r>
              <w:rPr>
                <w:rFonts w:hint="eastAsia"/>
              </w:rPr>
              <w:t>美国</w:t>
            </w:r>
          </w:p>
        </w:tc>
        <w:tc>
          <w:tcPr>
            <w:tcW w:w="1442" w:type="dxa"/>
          </w:tcPr>
          <w:p>
            <w:pPr>
              <w:pStyle w:val="20"/>
            </w:pPr>
            <w:r>
              <w:rPr>
                <w:rFonts w:hint="eastAsia"/>
              </w:rPr>
              <w:t>超过1900个</w:t>
            </w:r>
          </w:p>
        </w:tc>
        <w:tc>
          <w:tcPr>
            <w:tcW w:w="3606" w:type="dxa"/>
          </w:tcPr>
          <w:p>
            <w:pPr>
              <w:pStyle w:val="20"/>
            </w:pPr>
            <w:r>
              <w:rPr>
                <w:rFonts w:hint="eastAsia"/>
              </w:rPr>
              <w:t>由NGS负责管理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7" w:type="dxa"/>
          </w:tcPr>
          <w:p>
            <w:pPr>
              <w:pStyle w:val="20"/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EPN</w:t>
            </w:r>
            <w:r>
              <w:rPr>
                <w:rFonts w:hint="eastAsia" w:ascii="Arial" w:hAnsi="Arial" w:cs="Arial"/>
                <w:color w:val="000000"/>
                <w:shd w:val="clear" w:color="auto" w:fill="FFFFFF"/>
              </w:rPr>
              <w:t>系统</w:t>
            </w:r>
          </w:p>
        </w:tc>
        <w:tc>
          <w:tcPr>
            <w:tcW w:w="1087" w:type="dxa"/>
          </w:tcPr>
          <w:p>
            <w:pPr>
              <w:pStyle w:val="20"/>
            </w:pPr>
            <w:r>
              <w:rPr>
                <w:rFonts w:hint="eastAsia"/>
              </w:rPr>
              <w:t>欧洲</w:t>
            </w:r>
          </w:p>
        </w:tc>
        <w:tc>
          <w:tcPr>
            <w:tcW w:w="1442" w:type="dxa"/>
          </w:tcPr>
          <w:p>
            <w:pPr>
              <w:pStyle w:val="20"/>
            </w:pPr>
            <w:r>
              <w:rPr>
                <w:rFonts w:hint="eastAsia"/>
              </w:rPr>
              <w:t>未知</w:t>
            </w:r>
          </w:p>
        </w:tc>
        <w:tc>
          <w:tcPr>
            <w:tcW w:w="3606" w:type="dxa"/>
          </w:tcPr>
          <w:p>
            <w:pPr>
              <w:pStyle w:val="20"/>
            </w:pPr>
            <w:r>
              <w:rPr>
                <w:rFonts w:hint="eastAsia"/>
              </w:rPr>
              <w:t>覆盖整个欧洲大陆，由连续观测高精度的GPS/GLONASS接收机构成的若干站组成，是由多国参加实现精确地理参考大地测量的基础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7" w:type="dxa"/>
          </w:tcPr>
          <w:p>
            <w:pPr>
              <w:pStyle w:val="20"/>
            </w:pPr>
            <w:r>
              <w:rPr>
                <w:rFonts w:hint="eastAsia"/>
              </w:rPr>
              <w:t>SAPOS系统</w:t>
            </w:r>
          </w:p>
        </w:tc>
        <w:tc>
          <w:tcPr>
            <w:tcW w:w="1087" w:type="dxa"/>
          </w:tcPr>
          <w:p>
            <w:pPr>
              <w:pStyle w:val="20"/>
            </w:pPr>
            <w:r>
              <w:rPr>
                <w:rFonts w:hint="eastAsia"/>
              </w:rPr>
              <w:t>德国</w:t>
            </w:r>
          </w:p>
        </w:tc>
        <w:tc>
          <w:tcPr>
            <w:tcW w:w="1442" w:type="dxa"/>
          </w:tcPr>
          <w:p>
            <w:pPr>
              <w:pStyle w:val="20"/>
            </w:pPr>
            <w:r>
              <w:rPr>
                <w:rFonts w:hint="eastAsia"/>
              </w:rPr>
              <w:t>200个左右</w:t>
            </w:r>
          </w:p>
        </w:tc>
        <w:tc>
          <w:tcPr>
            <w:tcW w:w="3606" w:type="dxa"/>
          </w:tcPr>
          <w:p>
            <w:pPr>
              <w:pStyle w:val="20"/>
            </w:pPr>
            <w:r>
              <w:rPr>
                <w:rFonts w:hint="eastAsia"/>
              </w:rPr>
              <w:t>平均40km间距，广泛用于测量、运输、建筑、房屋和国防等领域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7" w:type="dxa"/>
          </w:tcPr>
          <w:p>
            <w:pPr>
              <w:pStyle w:val="20"/>
            </w:pPr>
            <w:r>
              <w:t>GeoN</w:t>
            </w:r>
            <w:r>
              <w:rPr>
                <w:rFonts w:hint="eastAsia"/>
              </w:rPr>
              <w:t>et系统</w:t>
            </w:r>
          </w:p>
        </w:tc>
        <w:tc>
          <w:tcPr>
            <w:tcW w:w="1087" w:type="dxa"/>
          </w:tcPr>
          <w:p>
            <w:pPr>
              <w:pStyle w:val="20"/>
            </w:pPr>
            <w:r>
              <w:t>日本</w:t>
            </w:r>
          </w:p>
        </w:tc>
        <w:tc>
          <w:tcPr>
            <w:tcW w:w="1442" w:type="dxa"/>
          </w:tcPr>
          <w:p>
            <w:pPr>
              <w:pStyle w:val="20"/>
            </w:pPr>
            <w:r>
              <w:rPr>
                <w:rFonts w:hint="eastAsia"/>
              </w:rPr>
              <w:t>超过</w:t>
            </w:r>
            <w:r>
              <w:t>1200个</w:t>
            </w:r>
          </w:p>
        </w:tc>
        <w:tc>
          <w:tcPr>
            <w:tcW w:w="3606" w:type="dxa"/>
          </w:tcPr>
          <w:p>
            <w:pPr>
              <w:pStyle w:val="20"/>
            </w:pPr>
            <w:r>
              <w:t>平均密度20km</w:t>
            </w:r>
            <w:r>
              <w:rPr>
                <w:rFonts w:hint="eastAsia"/>
              </w:rPr>
              <w:t>，</w:t>
            </w:r>
            <w:r>
              <w:t>主要用于地震监测和预报，控制测量，建筑及工程测量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7" w:type="dxa"/>
          </w:tcPr>
          <w:p>
            <w:pPr>
              <w:pStyle w:val="20"/>
            </w:pPr>
            <w:r>
              <w:rPr>
                <w:rFonts w:hint="eastAsia"/>
              </w:rPr>
              <w:t>中国地壳运动观测网络</w:t>
            </w:r>
          </w:p>
        </w:tc>
        <w:tc>
          <w:tcPr>
            <w:tcW w:w="1087" w:type="dxa"/>
          </w:tcPr>
          <w:p>
            <w:pPr>
              <w:pStyle w:val="20"/>
            </w:pPr>
            <w:r>
              <w:rPr>
                <w:rFonts w:hint="eastAsia"/>
              </w:rPr>
              <w:t>中国</w:t>
            </w:r>
          </w:p>
        </w:tc>
        <w:tc>
          <w:tcPr>
            <w:tcW w:w="1442" w:type="dxa"/>
          </w:tcPr>
          <w:p>
            <w:pPr>
              <w:pStyle w:val="20"/>
            </w:pPr>
            <w:r>
              <w:rPr>
                <w:rFonts w:hint="eastAsia"/>
              </w:rPr>
              <w:t>永久站：</w:t>
            </w:r>
          </w:p>
          <w:p>
            <w:pPr>
              <w:pStyle w:val="20"/>
            </w:pPr>
            <w:r>
              <w:rPr>
                <w:rFonts w:hint="eastAsia"/>
              </w:rPr>
              <w:t>25+200个</w:t>
            </w:r>
          </w:p>
        </w:tc>
        <w:tc>
          <w:tcPr>
            <w:tcW w:w="3606" w:type="dxa"/>
          </w:tcPr>
          <w:p>
            <w:pPr>
              <w:pStyle w:val="20"/>
            </w:pPr>
            <w:r>
              <w:rPr>
                <w:rFonts w:hint="eastAsia"/>
              </w:rPr>
              <w:t>由中国地震局牵头，中科院、总参测绘局、国家测绘局、国家气象局、教育部参与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7" w:type="dxa"/>
          </w:tcPr>
          <w:p>
            <w:pPr>
              <w:pStyle w:val="20"/>
            </w:pPr>
            <w:r>
              <w:rPr>
                <w:rFonts w:hint="eastAsia"/>
              </w:rPr>
              <w:t>上海CORS服务网</w:t>
            </w:r>
          </w:p>
        </w:tc>
        <w:tc>
          <w:tcPr>
            <w:tcW w:w="1087" w:type="dxa"/>
          </w:tcPr>
          <w:p>
            <w:pPr>
              <w:pStyle w:val="20"/>
            </w:pPr>
            <w:r>
              <w:rPr>
                <w:rFonts w:hint="eastAsia"/>
              </w:rPr>
              <w:t>中国</w:t>
            </w:r>
          </w:p>
        </w:tc>
        <w:tc>
          <w:tcPr>
            <w:tcW w:w="1442" w:type="dxa"/>
          </w:tcPr>
          <w:p>
            <w:pPr>
              <w:pStyle w:val="20"/>
            </w:pPr>
            <w:r>
              <w:rPr>
                <w:rFonts w:hint="eastAsia"/>
              </w:rPr>
              <w:t>14+9个</w:t>
            </w:r>
          </w:p>
        </w:tc>
        <w:tc>
          <w:tcPr>
            <w:tcW w:w="3606" w:type="dxa"/>
          </w:tcPr>
          <w:p>
            <w:pPr>
              <w:pStyle w:val="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7" w:type="dxa"/>
          </w:tcPr>
          <w:p>
            <w:pPr>
              <w:pStyle w:val="20"/>
            </w:pPr>
            <w:r>
              <w:rPr>
                <w:rFonts w:hint="eastAsia"/>
              </w:rPr>
              <w:t>北京CORS服务网</w:t>
            </w:r>
          </w:p>
        </w:tc>
        <w:tc>
          <w:tcPr>
            <w:tcW w:w="1087" w:type="dxa"/>
          </w:tcPr>
          <w:p>
            <w:pPr>
              <w:pStyle w:val="20"/>
            </w:pPr>
            <w:r>
              <w:rPr>
                <w:rFonts w:hint="eastAsia"/>
              </w:rPr>
              <w:t>中国</w:t>
            </w:r>
          </w:p>
        </w:tc>
        <w:tc>
          <w:tcPr>
            <w:tcW w:w="1442" w:type="dxa"/>
          </w:tcPr>
          <w:p>
            <w:pPr>
              <w:pStyle w:val="20"/>
            </w:pPr>
            <w:r>
              <w:rPr>
                <w:rFonts w:hint="eastAsia"/>
              </w:rPr>
              <w:t>28个</w:t>
            </w:r>
          </w:p>
        </w:tc>
        <w:tc>
          <w:tcPr>
            <w:tcW w:w="3606" w:type="dxa"/>
          </w:tcPr>
          <w:p>
            <w:pPr>
              <w:pStyle w:val="20"/>
            </w:pPr>
            <w:r>
              <w:rPr>
                <w:rFonts w:hint="eastAsia"/>
              </w:rPr>
              <w:t>由北京市信息资源管理中心建立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7" w:type="dxa"/>
          </w:tcPr>
          <w:p>
            <w:pPr>
              <w:pStyle w:val="20"/>
            </w:pPr>
            <w:r>
              <w:rPr>
                <w:rFonts w:hint="eastAsia"/>
              </w:rPr>
              <w:t>北斗地基增强系统</w:t>
            </w:r>
          </w:p>
        </w:tc>
        <w:tc>
          <w:tcPr>
            <w:tcW w:w="1087" w:type="dxa"/>
          </w:tcPr>
          <w:p>
            <w:pPr>
              <w:pStyle w:val="20"/>
            </w:pPr>
            <w:r>
              <w:rPr>
                <w:rFonts w:hint="eastAsia"/>
              </w:rPr>
              <w:t>中国</w:t>
            </w:r>
          </w:p>
        </w:tc>
        <w:tc>
          <w:tcPr>
            <w:tcW w:w="1442" w:type="dxa"/>
          </w:tcPr>
          <w:p>
            <w:pPr>
              <w:pStyle w:val="20"/>
            </w:pPr>
            <w:r>
              <w:rPr>
                <w:rFonts w:hint="eastAsia"/>
              </w:rPr>
              <w:t>计划1300个</w:t>
            </w:r>
          </w:p>
        </w:tc>
        <w:tc>
          <w:tcPr>
            <w:tcW w:w="3606" w:type="dxa"/>
          </w:tcPr>
          <w:p>
            <w:pPr>
              <w:pStyle w:val="20"/>
            </w:pPr>
            <w:r>
              <w:rPr>
                <w:rFonts w:hint="eastAsia"/>
              </w:rPr>
              <w:t>由中国兵器工业集团作为总体研制单位</w:t>
            </w:r>
          </w:p>
        </w:tc>
      </w:tr>
    </w:tbl>
    <w:p>
      <w:pPr>
        <w:spacing w:before="156"/>
        <w:ind w:firstLine="480"/>
      </w:pPr>
    </w:p>
    <w:p>
      <w:pPr>
        <w:spacing w:beforeLines="0"/>
        <w:ind w:firstLine="0" w:firstLineChars="0"/>
        <w:jc w:val="center"/>
      </w:pPr>
      <w:r>
        <w:drawing>
          <wp:inline distT="0" distB="0" distL="0" distR="0">
            <wp:extent cx="3599815" cy="33528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/>
        <w:ind w:firstLine="0" w:firstLineChars="0"/>
        <w:jc w:val="center"/>
      </w:pPr>
      <w:r>
        <w:rPr>
          <w:rFonts w:hint="eastAsia"/>
        </w:rPr>
        <w:t>欧洲EPN系统示意图</w:t>
      </w:r>
    </w:p>
    <w:p>
      <w:pPr>
        <w:spacing w:beforeLines="0"/>
        <w:ind w:firstLine="0" w:firstLineChars="0"/>
        <w:jc w:val="center"/>
      </w:pPr>
      <w:r>
        <w:drawing>
          <wp:inline distT="0" distB="0" distL="0" distR="0">
            <wp:extent cx="3599815" cy="3312795"/>
            <wp:effectExtent l="0" t="0" r="63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1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/>
        <w:ind w:firstLine="0" w:firstLineChars="0"/>
        <w:jc w:val="center"/>
      </w:pPr>
      <w:r>
        <w:rPr>
          <w:rFonts w:hint="eastAsia"/>
        </w:rPr>
        <w:t>德国SAPOS系统示意图</w:t>
      </w:r>
    </w:p>
    <w:p>
      <w:pPr>
        <w:spacing w:beforeLines="0"/>
        <w:ind w:firstLine="0" w:firstLineChars="0"/>
        <w:jc w:val="center"/>
      </w:pPr>
    </w:p>
    <w:p>
      <w:pPr>
        <w:spacing w:beforeLines="0"/>
        <w:ind w:firstLine="0" w:firstLineChars="0"/>
        <w:jc w:val="center"/>
      </w:pPr>
      <w:r>
        <w:drawing>
          <wp:inline distT="0" distB="0" distL="0" distR="0">
            <wp:extent cx="3599815" cy="4027805"/>
            <wp:effectExtent l="0" t="0" r="635" b="0"/>
            <wp:docPr id="2" name="图片 2" descr="http://img.blog.163.com/photo/7xnDkG7agEJ8lkZ-kZ4XRA==/514620699920189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img.blog.163.com/photo/7xnDkG7agEJ8lkZ-kZ4XRA==/51462069992018902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02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/>
        <w:ind w:firstLine="0" w:firstLineChars="0"/>
        <w:jc w:val="center"/>
      </w:pPr>
      <w:r>
        <w:rPr>
          <w:rFonts w:hint="eastAsia"/>
        </w:rPr>
        <w:t>日本</w:t>
      </w:r>
      <w:r>
        <w:t>GeoN</w:t>
      </w:r>
      <w:r>
        <w:rPr>
          <w:rFonts w:hint="eastAsia"/>
        </w:rPr>
        <w:t>et系统</w:t>
      </w:r>
    </w:p>
    <w:p>
      <w:pPr>
        <w:spacing w:before="156"/>
        <w:ind w:firstLine="480"/>
      </w:pPr>
      <w:r>
        <w:rPr>
          <w:rFonts w:hint="eastAsia"/>
        </w:rPr>
        <w:t>地基增强系统和CORS系统的关系，简要描述如下：</w:t>
      </w:r>
    </w:p>
    <w:tbl>
      <w:tblPr>
        <w:tblStyle w:val="13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5"/>
        <w:gridCol w:w="4442"/>
        <w:gridCol w:w="1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</w:tcPr>
          <w:p>
            <w:pPr>
              <w:pStyle w:val="20"/>
              <w:rPr>
                <w:b/>
              </w:rPr>
            </w:pPr>
            <w:r>
              <w:rPr>
                <w:rFonts w:hint="eastAsia"/>
                <w:b/>
              </w:rPr>
              <w:t>系统名称</w:t>
            </w:r>
          </w:p>
        </w:tc>
        <w:tc>
          <w:tcPr>
            <w:tcW w:w="4442" w:type="dxa"/>
          </w:tcPr>
          <w:p>
            <w:pPr>
              <w:pStyle w:val="20"/>
              <w:rPr>
                <w:b/>
              </w:rPr>
            </w:pPr>
            <w:r>
              <w:rPr>
                <w:rFonts w:hint="eastAsia"/>
                <w:b/>
              </w:rPr>
              <w:t>系统特点</w:t>
            </w:r>
          </w:p>
        </w:tc>
        <w:tc>
          <w:tcPr>
            <w:tcW w:w="1745" w:type="dxa"/>
          </w:tcPr>
          <w:p>
            <w:pPr>
              <w:pStyle w:val="20"/>
              <w:rPr>
                <w:b/>
              </w:rPr>
            </w:pPr>
            <w:r>
              <w:rPr>
                <w:rFonts w:hint="eastAsia"/>
                <w:b/>
              </w:rPr>
              <w:t>相互关系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</w:tcPr>
          <w:p>
            <w:pPr>
              <w:pStyle w:val="20"/>
            </w:pPr>
            <w:r>
              <w:rPr>
                <w:rFonts w:hint="eastAsia"/>
              </w:rPr>
              <w:t>CORS系统</w:t>
            </w:r>
          </w:p>
        </w:tc>
        <w:tc>
          <w:tcPr>
            <w:tcW w:w="4442" w:type="dxa"/>
          </w:tcPr>
          <w:p>
            <w:pPr>
              <w:pStyle w:val="20"/>
            </w:pPr>
            <w:r>
              <w:rPr>
                <w:rFonts w:hint="eastAsia"/>
              </w:rPr>
              <w:t>基于永久参考站计算差分修正数，通过移动网络/UHF电台等向用户播发</w:t>
            </w:r>
          </w:p>
        </w:tc>
        <w:tc>
          <w:tcPr>
            <w:tcW w:w="1745" w:type="dxa"/>
            <w:vMerge w:val="restart"/>
          </w:tcPr>
          <w:p>
            <w:pPr>
              <w:pStyle w:val="20"/>
            </w:pPr>
            <w:r>
              <w:rPr>
                <w:rFonts w:hint="eastAsia"/>
              </w:rPr>
              <w:t>地基增强系统比CORS内容更丰富，应用更广泛。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</w:tcPr>
          <w:p>
            <w:pPr>
              <w:pStyle w:val="20"/>
            </w:pPr>
            <w:r>
              <w:rPr>
                <w:rFonts w:hint="eastAsia"/>
              </w:rPr>
              <w:t>地基增强系统</w:t>
            </w:r>
          </w:p>
        </w:tc>
        <w:tc>
          <w:tcPr>
            <w:tcW w:w="4442" w:type="dxa"/>
          </w:tcPr>
          <w:p>
            <w:pPr>
              <w:pStyle w:val="20"/>
            </w:pPr>
            <w:r>
              <w:rPr>
                <w:rFonts w:hint="eastAsia"/>
              </w:rPr>
              <w:t>基于连续运行的永久参考站，解算出的修正数包括区域信号(类似CORS信号)和广域差分信号(类似SBAS)，播发方式包括移动网络/UHF电台/同步卫星等；</w:t>
            </w:r>
          </w:p>
        </w:tc>
        <w:tc>
          <w:tcPr>
            <w:tcW w:w="1745" w:type="dxa"/>
            <w:vMerge w:val="continue"/>
          </w:tcPr>
          <w:p>
            <w:pPr>
              <w:pStyle w:val="20"/>
            </w:pPr>
          </w:p>
        </w:tc>
      </w:tr>
    </w:tbl>
    <w:p>
      <w:pPr>
        <w:pStyle w:val="2"/>
      </w:pPr>
      <w:r>
        <w:rPr>
          <w:rFonts w:hint="eastAsia"/>
        </w:rPr>
        <w:t>系统组成</w:t>
      </w:r>
    </w:p>
    <w:p>
      <w:pPr>
        <w:spacing w:before="156"/>
        <w:ind w:firstLine="480"/>
        <w:rPr>
          <w:szCs w:val="24"/>
        </w:rPr>
      </w:pPr>
      <w:r>
        <w:rPr>
          <w:rFonts w:hint="eastAsia" w:ascii="宋体" w:cs="宋体"/>
          <w:szCs w:val="24"/>
        </w:rPr>
        <w:t>地基增强差分系</w:t>
      </w:r>
      <w:r>
        <w:rPr>
          <w:szCs w:val="24"/>
        </w:rPr>
        <w:t>统由</w:t>
      </w:r>
      <w:r>
        <w:rPr>
          <w:rFonts w:hint="eastAsia"/>
          <w:szCs w:val="24"/>
        </w:rPr>
        <w:t>连续运行基准站网</w:t>
      </w:r>
      <w:r>
        <w:rPr>
          <w:szCs w:val="24"/>
        </w:rPr>
        <w:t>、</w:t>
      </w:r>
      <w:r>
        <w:rPr>
          <w:rFonts w:hint="eastAsia"/>
          <w:szCs w:val="24"/>
        </w:rPr>
        <w:t>系统</w:t>
      </w:r>
      <w:r>
        <w:rPr>
          <w:szCs w:val="24"/>
        </w:rPr>
        <w:t>控制</w:t>
      </w:r>
      <w:r>
        <w:rPr>
          <w:rFonts w:hint="eastAsia"/>
          <w:szCs w:val="24"/>
        </w:rPr>
        <w:t>与数据</w:t>
      </w:r>
      <w:r>
        <w:rPr>
          <w:szCs w:val="24"/>
        </w:rPr>
        <w:t>中心、</w:t>
      </w:r>
      <w:r>
        <w:rPr>
          <w:rFonts w:hint="eastAsia"/>
          <w:szCs w:val="24"/>
        </w:rPr>
        <w:t>数据通信网络以及</w:t>
      </w:r>
      <w:r>
        <w:rPr>
          <w:szCs w:val="24"/>
        </w:rPr>
        <w:t>用户应用</w:t>
      </w:r>
      <w:r>
        <w:rPr>
          <w:rFonts w:hint="eastAsia"/>
          <w:szCs w:val="24"/>
        </w:rPr>
        <w:t>子系统等</w:t>
      </w:r>
      <w:r>
        <w:rPr>
          <w:szCs w:val="24"/>
        </w:rPr>
        <w:t>组成，</w:t>
      </w:r>
      <w:r>
        <w:rPr>
          <w:rFonts w:hint="eastAsia"/>
          <w:szCs w:val="24"/>
        </w:rPr>
        <w:t>各</w:t>
      </w:r>
      <w:r>
        <w:rPr>
          <w:szCs w:val="24"/>
        </w:rPr>
        <w:t>子系统的定义与功能</w:t>
      </w:r>
      <w:r>
        <w:rPr>
          <w:rFonts w:hint="eastAsia"/>
          <w:szCs w:val="24"/>
        </w:rPr>
        <w:t>介绍如下</w:t>
      </w:r>
      <w:r>
        <w:rPr>
          <w:szCs w:val="24"/>
        </w:rPr>
        <w:t>。</w:t>
      </w:r>
    </w:p>
    <w:p>
      <w:pPr>
        <w:pStyle w:val="19"/>
        <w:numPr>
          <w:ilvl w:val="1"/>
          <w:numId w:val="2"/>
        </w:numPr>
        <w:autoSpaceDE w:val="0"/>
        <w:autoSpaceDN w:val="0"/>
        <w:adjustRightInd w:val="0"/>
        <w:spacing w:beforeLines="0"/>
        <w:ind w:firstLineChars="0"/>
        <w:rPr>
          <w:kern w:val="0"/>
          <w:szCs w:val="24"/>
        </w:rPr>
      </w:pPr>
      <w:r>
        <w:rPr>
          <w:rFonts w:hint="eastAsia" w:hAnsi="宋体"/>
          <w:kern w:val="0"/>
          <w:szCs w:val="24"/>
        </w:rPr>
        <w:t>连续运行基准</w:t>
      </w:r>
      <w:r>
        <w:rPr>
          <w:rFonts w:hAnsi="宋体"/>
          <w:kern w:val="0"/>
          <w:szCs w:val="24"/>
        </w:rPr>
        <w:t>站子系统</w:t>
      </w:r>
      <w:r>
        <w:rPr>
          <w:rFonts w:hint="eastAsia" w:hAnsi="宋体"/>
          <w:kern w:val="0"/>
          <w:szCs w:val="24"/>
        </w:rPr>
        <w:t>；</w:t>
      </w:r>
    </w:p>
    <w:p>
      <w:pPr>
        <w:numPr>
          <w:ilvl w:val="1"/>
          <w:numId w:val="2"/>
        </w:numPr>
        <w:autoSpaceDE w:val="0"/>
        <w:autoSpaceDN w:val="0"/>
        <w:adjustRightInd w:val="0"/>
        <w:spacing w:beforeLines="0"/>
        <w:ind w:firstLineChars="0"/>
        <w:rPr>
          <w:kern w:val="0"/>
          <w:szCs w:val="24"/>
        </w:rPr>
      </w:pPr>
      <w:r>
        <w:rPr>
          <w:rFonts w:hint="eastAsia" w:hAnsi="宋体"/>
          <w:kern w:val="0"/>
          <w:szCs w:val="24"/>
        </w:rPr>
        <w:t>系统控制与数据</w:t>
      </w:r>
      <w:r>
        <w:rPr>
          <w:rFonts w:hAnsi="宋体"/>
          <w:kern w:val="0"/>
          <w:szCs w:val="24"/>
        </w:rPr>
        <w:t>中心子系统</w:t>
      </w:r>
      <w:r>
        <w:rPr>
          <w:rFonts w:hint="eastAsia"/>
          <w:kern w:val="0"/>
          <w:szCs w:val="24"/>
        </w:rPr>
        <w:t>；</w:t>
      </w:r>
    </w:p>
    <w:p>
      <w:pPr>
        <w:numPr>
          <w:ilvl w:val="1"/>
          <w:numId w:val="2"/>
        </w:numPr>
        <w:autoSpaceDE w:val="0"/>
        <w:autoSpaceDN w:val="0"/>
        <w:adjustRightInd w:val="0"/>
        <w:spacing w:beforeLines="0"/>
        <w:ind w:firstLineChars="0"/>
        <w:rPr>
          <w:kern w:val="0"/>
          <w:szCs w:val="24"/>
        </w:rPr>
      </w:pPr>
      <w:r>
        <w:rPr>
          <w:rFonts w:hAnsi="宋体"/>
          <w:kern w:val="0"/>
          <w:szCs w:val="24"/>
        </w:rPr>
        <w:t>数据通信</w:t>
      </w:r>
      <w:r>
        <w:rPr>
          <w:rFonts w:hint="eastAsia" w:hAnsi="宋体"/>
          <w:kern w:val="0"/>
          <w:szCs w:val="24"/>
        </w:rPr>
        <w:t>网络</w:t>
      </w:r>
      <w:r>
        <w:rPr>
          <w:rFonts w:hAnsi="宋体"/>
          <w:kern w:val="0"/>
          <w:szCs w:val="24"/>
        </w:rPr>
        <w:t>子系统；</w:t>
      </w:r>
    </w:p>
    <w:p>
      <w:pPr>
        <w:numPr>
          <w:ilvl w:val="1"/>
          <w:numId w:val="2"/>
        </w:numPr>
        <w:autoSpaceDE w:val="0"/>
        <w:autoSpaceDN w:val="0"/>
        <w:adjustRightInd w:val="0"/>
        <w:spacing w:beforeLines="0"/>
        <w:ind w:firstLineChars="0"/>
        <w:rPr>
          <w:kern w:val="0"/>
          <w:szCs w:val="24"/>
        </w:rPr>
      </w:pPr>
      <w:r>
        <w:rPr>
          <w:rFonts w:hAnsi="宋体"/>
          <w:kern w:val="0"/>
          <w:szCs w:val="24"/>
        </w:rPr>
        <w:t>用户应用子系统</w:t>
      </w:r>
      <w:r>
        <w:rPr>
          <w:rFonts w:hint="eastAsia" w:hAnsi="宋体"/>
          <w:kern w:val="0"/>
          <w:szCs w:val="24"/>
        </w:rPr>
        <w:t>；</w:t>
      </w:r>
    </w:p>
    <w:p>
      <w:pPr>
        <w:spacing w:before="156"/>
        <w:ind w:firstLine="482"/>
        <w:jc w:val="center"/>
        <w:rPr>
          <w:b/>
        </w:rPr>
      </w:pPr>
      <w:r>
        <w:rPr>
          <w:b/>
        </w:rPr>
        <w:t>各子系统功能定义</w:t>
      </w:r>
    </w:p>
    <w:tbl>
      <w:tblPr>
        <w:tblStyle w:val="12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2934"/>
        <w:gridCol w:w="2659"/>
        <w:gridCol w:w="15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vAlign w:val="center"/>
          </w:tcPr>
          <w:p>
            <w:pPr>
              <w:pStyle w:val="20"/>
            </w:pPr>
            <w:r>
              <w:t>系统名称</w:t>
            </w:r>
          </w:p>
        </w:tc>
        <w:tc>
          <w:tcPr>
            <w:tcW w:w="2934" w:type="dxa"/>
            <w:vAlign w:val="center"/>
          </w:tcPr>
          <w:p>
            <w:pPr>
              <w:pStyle w:val="20"/>
            </w:pPr>
            <w:r>
              <w:t>主要工作内容</w:t>
            </w:r>
          </w:p>
        </w:tc>
        <w:tc>
          <w:tcPr>
            <w:tcW w:w="2659" w:type="dxa"/>
            <w:vAlign w:val="center"/>
          </w:tcPr>
          <w:p>
            <w:pPr>
              <w:pStyle w:val="20"/>
            </w:pPr>
            <w:r>
              <w:t>设备构成</w:t>
            </w:r>
          </w:p>
        </w:tc>
        <w:tc>
          <w:tcPr>
            <w:tcW w:w="1524" w:type="dxa"/>
            <w:vAlign w:val="center"/>
          </w:tcPr>
          <w:p>
            <w:pPr>
              <w:pStyle w:val="20"/>
            </w:pPr>
            <w:r>
              <w:t>主要技术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连续运行基准站子系统；</w:t>
            </w:r>
          </w:p>
        </w:tc>
        <w:tc>
          <w:tcPr>
            <w:tcW w:w="2934" w:type="dxa"/>
            <w:vAlign w:val="center"/>
          </w:tcPr>
          <w:p>
            <w:pPr>
              <w:pStyle w:val="20"/>
            </w:pPr>
            <w:r>
              <w:t>卫星信号的捕获、跟踪、采集与传输；设备完好性监测</w:t>
            </w:r>
          </w:p>
        </w:tc>
        <w:tc>
          <w:tcPr>
            <w:tcW w:w="2659" w:type="dxa"/>
            <w:vAlign w:val="center"/>
          </w:tcPr>
          <w:p>
            <w:pPr>
              <w:pStyle w:val="20"/>
            </w:pPr>
            <w:r>
              <w:t>单个基准站（含</w:t>
            </w:r>
            <w:r>
              <w:rPr>
                <w:rFonts w:hint="eastAsia"/>
              </w:rPr>
              <w:t>北斗</w:t>
            </w:r>
            <w:r>
              <w:t>接收机、计算机、UPS 等）</w:t>
            </w:r>
          </w:p>
        </w:tc>
        <w:tc>
          <w:tcPr>
            <w:tcW w:w="1524" w:type="dxa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采用我国自主知识产权的北斗接收机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vMerge w:val="restart"/>
            <w:vAlign w:val="center"/>
          </w:tcPr>
          <w:p>
            <w:pPr>
              <w:pStyle w:val="20"/>
            </w:pPr>
            <w:r>
              <w:t>系统控制与数据中心</w:t>
            </w:r>
          </w:p>
        </w:tc>
        <w:tc>
          <w:tcPr>
            <w:tcW w:w="2934" w:type="dxa"/>
            <w:vAlign w:val="center"/>
          </w:tcPr>
          <w:p>
            <w:pPr>
              <w:pStyle w:val="20"/>
            </w:pPr>
            <w:r>
              <w:t>数据分流与处理；系统管理与维护；服务生成与用户管理</w:t>
            </w:r>
          </w:p>
        </w:tc>
        <w:tc>
          <w:tcPr>
            <w:tcW w:w="2659" w:type="dxa"/>
            <w:vAlign w:val="center"/>
          </w:tcPr>
          <w:p>
            <w:pPr>
              <w:pStyle w:val="20"/>
            </w:pPr>
            <w:r>
              <w:t>计算机、网络设备、数据通信设备、电源设备</w:t>
            </w:r>
          </w:p>
        </w:tc>
        <w:tc>
          <w:tcPr>
            <w:tcW w:w="1524" w:type="dxa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一个中心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vMerge w:val="continue"/>
            <w:vAlign w:val="center"/>
          </w:tcPr>
          <w:p>
            <w:pPr>
              <w:pStyle w:val="20"/>
            </w:pPr>
          </w:p>
        </w:tc>
        <w:tc>
          <w:tcPr>
            <w:tcW w:w="2934" w:type="dxa"/>
            <w:vAlign w:val="center"/>
          </w:tcPr>
          <w:p>
            <w:pPr>
              <w:pStyle w:val="20"/>
            </w:pPr>
            <w:r>
              <w:t>管理各播发站、差分信息编码、形成差分信息队列</w:t>
            </w:r>
          </w:p>
        </w:tc>
        <w:tc>
          <w:tcPr>
            <w:tcW w:w="2659" w:type="dxa"/>
            <w:vAlign w:val="center"/>
          </w:tcPr>
          <w:p>
            <w:pPr>
              <w:pStyle w:val="20"/>
            </w:pPr>
            <w:r>
              <w:t>计算机、软件</w:t>
            </w:r>
          </w:p>
        </w:tc>
        <w:tc>
          <w:tcPr>
            <w:tcW w:w="1524" w:type="dxa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软件实现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vMerge w:val="restart"/>
            <w:vAlign w:val="center"/>
          </w:tcPr>
          <w:p>
            <w:pPr>
              <w:pStyle w:val="20"/>
            </w:pPr>
            <w:r>
              <w:t>数据通信</w:t>
            </w:r>
            <w:r>
              <w:rPr>
                <w:rFonts w:hint="eastAsia"/>
              </w:rPr>
              <w:t>网络</w:t>
            </w:r>
            <w:r>
              <w:t>子系统</w:t>
            </w:r>
          </w:p>
        </w:tc>
        <w:tc>
          <w:tcPr>
            <w:tcW w:w="2934" w:type="dxa"/>
            <w:vAlign w:val="center"/>
          </w:tcPr>
          <w:p>
            <w:pPr>
              <w:pStyle w:val="20"/>
            </w:pPr>
            <w:r>
              <w:t>把基准站</w:t>
            </w:r>
            <w:r>
              <w:rPr>
                <w:rFonts w:hint="eastAsia"/>
              </w:rPr>
              <w:t>北斗</w:t>
            </w:r>
            <w:r>
              <w:t>观测数据传输至数据中心</w:t>
            </w:r>
          </w:p>
        </w:tc>
        <w:tc>
          <w:tcPr>
            <w:tcW w:w="2659" w:type="dxa"/>
            <w:vAlign w:val="center"/>
          </w:tcPr>
          <w:p>
            <w:pPr>
              <w:pStyle w:val="20"/>
            </w:pPr>
            <w:r>
              <w:t>气象专网、SDH 等</w:t>
            </w:r>
          </w:p>
        </w:tc>
        <w:tc>
          <w:tcPr>
            <w:tcW w:w="1524" w:type="dxa"/>
            <w:vAlign w:val="center"/>
          </w:tcPr>
          <w:p>
            <w:pPr>
              <w:pStyle w:val="20"/>
            </w:pPr>
            <w:r>
              <w:t>GSM、GPRS等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vMerge w:val="continue"/>
            <w:vAlign w:val="center"/>
          </w:tcPr>
          <w:p>
            <w:pPr>
              <w:pStyle w:val="20"/>
            </w:pPr>
          </w:p>
        </w:tc>
        <w:tc>
          <w:tcPr>
            <w:tcW w:w="2934" w:type="dxa"/>
            <w:vAlign w:val="center"/>
          </w:tcPr>
          <w:p>
            <w:pPr>
              <w:pStyle w:val="20"/>
            </w:pPr>
            <w:r>
              <w:t>把系统差分信息传输至用户</w:t>
            </w:r>
          </w:p>
        </w:tc>
        <w:tc>
          <w:tcPr>
            <w:tcW w:w="2659" w:type="dxa"/>
            <w:vAlign w:val="center"/>
          </w:tcPr>
          <w:p>
            <w:pPr>
              <w:pStyle w:val="20"/>
            </w:pPr>
            <w:r>
              <w:t>公众移动通信网</w:t>
            </w:r>
          </w:p>
        </w:tc>
        <w:tc>
          <w:tcPr>
            <w:tcW w:w="1524" w:type="dxa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无线网络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5" w:type="dxa"/>
            <w:vAlign w:val="center"/>
          </w:tcPr>
          <w:p>
            <w:pPr>
              <w:pStyle w:val="20"/>
            </w:pPr>
            <w:r>
              <w:t>用户应用子系统</w:t>
            </w:r>
          </w:p>
        </w:tc>
        <w:tc>
          <w:tcPr>
            <w:tcW w:w="2934" w:type="dxa"/>
            <w:vAlign w:val="center"/>
          </w:tcPr>
          <w:p>
            <w:pPr>
              <w:pStyle w:val="20"/>
            </w:pPr>
            <w:r>
              <w:t>按照用户需求进行不同精度定位</w:t>
            </w:r>
          </w:p>
        </w:tc>
        <w:tc>
          <w:tcPr>
            <w:tcW w:w="2659" w:type="dxa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兼容北斗信号的</w:t>
            </w:r>
            <w:r>
              <w:t>接收设备</w:t>
            </w:r>
            <w:r>
              <w:rPr>
                <w:rFonts w:hint="eastAsia"/>
              </w:rPr>
              <w:t>（B1\B2\B3的接收机</w:t>
            </w:r>
            <w:r>
              <w:t>）、数据通信终端、软件系统</w:t>
            </w:r>
          </w:p>
        </w:tc>
        <w:tc>
          <w:tcPr>
            <w:tcW w:w="1524" w:type="dxa"/>
            <w:vAlign w:val="center"/>
          </w:tcPr>
          <w:p>
            <w:pPr>
              <w:pStyle w:val="20"/>
            </w:pPr>
            <w:r>
              <w:t>适于DGPS、RTK等</w:t>
            </w:r>
          </w:p>
        </w:tc>
      </w:tr>
    </w:tbl>
    <w:p>
      <w:pPr>
        <w:spacing w:before="156"/>
        <w:ind w:firstLine="480"/>
        <w:rPr>
          <w:rFonts w:hint="eastAsia" w:eastAsia="仿宋_GB2312"/>
          <w:lang w:eastAsia="zh-CN"/>
        </w:rPr>
      </w:pPr>
      <w:r>
        <w:rPr>
          <w:rFonts w:hint="eastAsia"/>
          <w:lang w:eastAsia="zh-CN"/>
        </w:rPr>
        <w:t xml:space="preserve"> </w:t>
      </w:r>
    </w:p>
    <w:p>
      <w:pPr>
        <w:spacing w:before="156"/>
        <w:ind w:firstLine="480"/>
        <w:jc w:val="center"/>
      </w:pPr>
      <w:r>
        <w:object>
          <v:shape id="_x0000_i1025" o:spt="75" type="#_x0000_t75" style="height:340.5pt;width:301.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13">
            <o:LockedField>false</o:LockedField>
          </o:OLEObject>
        </w:object>
      </w:r>
      <w:bookmarkStart w:id="1" w:name="_GoBack"/>
      <w:bookmarkEnd w:id="1"/>
    </w:p>
    <w:p>
      <w:pPr>
        <w:spacing w:before="156"/>
        <w:ind w:firstLine="480"/>
        <w:jc w:val="center"/>
      </w:pPr>
      <w:r>
        <w:rPr>
          <w:rFonts w:hint="eastAsia"/>
        </w:rPr>
        <w:t>地基增强系统示意图</w:t>
      </w:r>
    </w:p>
    <w:p>
      <w:pPr>
        <w:spacing w:before="156"/>
        <w:ind w:firstLine="480"/>
        <w:rPr>
          <w:rFonts w:ascii="宋体" w:cs="宋体"/>
          <w:szCs w:val="24"/>
        </w:rPr>
      </w:pPr>
      <w:r>
        <w:rPr>
          <w:rFonts w:hint="eastAsia" w:ascii="宋体" w:cs="宋体"/>
          <w:szCs w:val="24"/>
        </w:rPr>
        <w:t>其中，基准站子系统</w:t>
      </w:r>
      <w:r>
        <w:rPr>
          <w:rFonts w:ascii="宋体" w:cs="宋体"/>
          <w:szCs w:val="24"/>
        </w:rPr>
        <w:t>主要</w:t>
      </w:r>
      <w:r>
        <w:rPr>
          <w:rFonts w:hint="eastAsia" w:ascii="宋体" w:cs="宋体"/>
          <w:szCs w:val="24"/>
        </w:rPr>
        <w:t>由</w:t>
      </w:r>
      <w:r>
        <w:rPr>
          <w:rFonts w:ascii="宋体" w:cs="宋体"/>
          <w:szCs w:val="24"/>
        </w:rPr>
        <w:t>天线</w:t>
      </w:r>
      <w:r>
        <w:rPr>
          <w:rFonts w:hint="eastAsia" w:ascii="宋体" w:cs="宋体"/>
          <w:szCs w:val="24"/>
        </w:rPr>
        <w:t>、</w:t>
      </w:r>
      <w:r>
        <w:rPr>
          <w:rFonts w:ascii="宋体" w:cs="宋体"/>
          <w:szCs w:val="24"/>
        </w:rPr>
        <w:t>接收机</w:t>
      </w:r>
      <w:r>
        <w:rPr>
          <w:rFonts w:hint="eastAsia" w:ascii="宋体" w:cs="宋体"/>
          <w:szCs w:val="24"/>
        </w:rPr>
        <w:t>、</w:t>
      </w:r>
      <w:r>
        <w:rPr>
          <w:rFonts w:ascii="宋体" w:cs="宋体"/>
          <w:szCs w:val="24"/>
        </w:rPr>
        <w:t>通信设备</w:t>
      </w:r>
      <w:r>
        <w:rPr>
          <w:rFonts w:hint="eastAsia" w:ascii="宋体" w:cs="宋体"/>
          <w:szCs w:val="24"/>
        </w:rPr>
        <w:t>、</w:t>
      </w:r>
      <w:r>
        <w:rPr>
          <w:rFonts w:ascii="宋体" w:cs="宋体"/>
          <w:szCs w:val="24"/>
        </w:rPr>
        <w:t>供电设备</w:t>
      </w:r>
      <w:r>
        <w:rPr>
          <w:rFonts w:hint="eastAsia" w:ascii="宋体" w:cs="宋体"/>
          <w:szCs w:val="24"/>
        </w:rPr>
        <w:t>、避雷设备、</w:t>
      </w:r>
      <w:r>
        <w:rPr>
          <w:rFonts w:ascii="宋体" w:cs="宋体"/>
          <w:szCs w:val="24"/>
        </w:rPr>
        <w:t>气象设备</w:t>
      </w:r>
      <w:r>
        <w:rPr>
          <w:rFonts w:hint="eastAsia" w:ascii="宋体" w:cs="宋体"/>
          <w:szCs w:val="24"/>
        </w:rPr>
        <w:t>及观测室等组成，见下图：</w:t>
      </w:r>
    </w:p>
    <w:p>
      <w:pPr>
        <w:spacing w:before="156"/>
        <w:ind w:firstLine="480"/>
      </w:pPr>
      <w:r>
        <w:drawing>
          <wp:inline distT="0" distB="0" distL="0" distR="0">
            <wp:extent cx="4619625" cy="24212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068" cy="242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/>
        <w:ind w:firstLine="480"/>
        <w:jc w:val="center"/>
      </w:pPr>
      <w:r>
        <w:rPr>
          <w:rFonts w:hint="eastAsia"/>
        </w:rPr>
        <w:t>地基增强基准站子系统示意图</w:t>
      </w:r>
    </w:p>
    <w:p>
      <w:pPr>
        <w:pStyle w:val="2"/>
      </w:pPr>
      <w:r>
        <w:rPr>
          <w:rFonts w:hint="eastAsia"/>
        </w:rPr>
        <w:t>核心设备</w:t>
      </w:r>
    </w:p>
    <w:p>
      <w:pPr>
        <w:spacing w:before="156"/>
        <w:ind w:firstLine="480"/>
      </w:pPr>
      <w:r>
        <w:rPr>
          <w:rFonts w:hint="eastAsia"/>
        </w:rPr>
        <w:drawing>
          <wp:inline distT="0" distB="0" distL="0" distR="0">
            <wp:extent cx="4629150" cy="2762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t="8374" r="5988" b="20197"/>
                    <a:stretch>
                      <a:fillRect/>
                    </a:stretch>
                  </pic:blipFill>
                  <pic:spPr>
                    <a:xfrm>
                      <a:off x="0" y="0"/>
                      <a:ext cx="4634471" cy="276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beforeLines="0" w:after="260" w:line="416" w:lineRule="auto"/>
        <w:jc w:val="both"/>
      </w:pPr>
      <w:bookmarkStart w:id="0" w:name="_Toc394667098"/>
      <w:r>
        <w:rPr>
          <w:rFonts w:hint="eastAsia"/>
        </w:rPr>
        <w:t>技术指标</w:t>
      </w:r>
      <w:bookmarkEnd w:id="0"/>
    </w:p>
    <w:tbl>
      <w:tblPr>
        <w:tblStyle w:val="12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7"/>
        <w:gridCol w:w="1798"/>
        <w:gridCol w:w="5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8522" w:type="dxa"/>
            <w:gridSpan w:val="3"/>
            <w:shd w:val="clear" w:color="auto" w:fill="1F497D" w:themeFill="text2"/>
            <w:vAlign w:val="center"/>
          </w:tcPr>
          <w:p>
            <w:pPr>
              <w:pStyle w:val="20"/>
              <w:rPr>
                <w:rStyle w:val="25"/>
                <w:rFonts w:asciiTheme="minorHAnsi" w:hAnsiTheme="minorHAnsi" w:cstheme="minorBidi"/>
                <w:b w:val="0"/>
                <w:color w:val="auto"/>
              </w:rPr>
            </w:pPr>
            <w:r>
              <w:rPr>
                <w:rStyle w:val="25"/>
                <w:rFonts w:hint="eastAsia" w:asciiTheme="minorHAnsi" w:hAnsiTheme="minorHAnsi" w:cstheme="minorBidi"/>
                <w:b w:val="0"/>
                <w:color w:val="auto"/>
              </w:rPr>
              <w:t>M300+技术指标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pStyle w:val="20"/>
            </w:pPr>
            <w:r>
              <w:t>GNSS信号</w:t>
            </w: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GPS</w:t>
            </w:r>
          </w:p>
        </w:tc>
        <w:tc>
          <w:tcPr>
            <w:tcW w:w="5297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L1C/A,L1/L2/L5P，可同时跟踪14颗GPS卫星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pStyle w:val="20"/>
            </w:pP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BDS</w:t>
            </w:r>
          </w:p>
        </w:tc>
        <w:tc>
          <w:tcPr>
            <w:tcW w:w="5297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B1I, B2I,B3I，可同时跟踪14颗BDS卫星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pStyle w:val="20"/>
            </w:pP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GLONASS</w:t>
            </w:r>
          </w:p>
        </w:tc>
        <w:tc>
          <w:tcPr>
            <w:tcW w:w="5297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G1C&amp;G2C，可同时跟踪14颗GLONASS卫星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pStyle w:val="20"/>
            </w:pP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SBAS</w:t>
            </w:r>
          </w:p>
        </w:tc>
        <w:tc>
          <w:tcPr>
            <w:tcW w:w="5297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L1，可同时跟踪3颗SBAS卫星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观测值准确度</w:t>
            </w: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伪距精度</w:t>
            </w:r>
          </w:p>
        </w:tc>
        <w:tc>
          <w:tcPr>
            <w:tcW w:w="5297" w:type="dxa"/>
            <w:shd w:val="clear" w:color="auto" w:fill="auto"/>
            <w:vAlign w:val="center"/>
          </w:tcPr>
          <w:p>
            <w:pPr>
              <w:pStyle w:val="20"/>
            </w:pPr>
            <w:r>
              <w:t>GSP: L1=10cm/L2=10cm/L5=5cm</w:t>
            </w:r>
          </w:p>
          <w:p>
            <w:pPr>
              <w:pStyle w:val="20"/>
            </w:pPr>
            <w:r>
              <w:t>BD</w:t>
            </w:r>
            <w:r>
              <w:rPr>
                <w:rFonts w:hint="eastAsia"/>
              </w:rPr>
              <w:t>S</w:t>
            </w:r>
            <w:r>
              <w:t>: B1=10cm/B2=10cm/B3=5cm</w:t>
            </w:r>
          </w:p>
          <w:p>
            <w:pPr>
              <w:pStyle w:val="20"/>
            </w:pPr>
            <w:r>
              <w:t>GLONASS: G1=10cm/G2=10cm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pStyle w:val="20"/>
            </w:pP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载波相位精度</w:t>
            </w:r>
          </w:p>
        </w:tc>
        <w:tc>
          <w:tcPr>
            <w:tcW w:w="5297" w:type="dxa"/>
            <w:shd w:val="clear" w:color="auto" w:fill="auto"/>
            <w:vAlign w:val="center"/>
          </w:tcPr>
          <w:p>
            <w:pPr>
              <w:pStyle w:val="20"/>
            </w:pPr>
            <w:r>
              <w:t>GPS: L1=1.0mm/L2=1.0mm/L5=0.5mm</w:t>
            </w:r>
          </w:p>
          <w:p>
            <w:pPr>
              <w:pStyle w:val="20"/>
            </w:pPr>
            <w:r>
              <w:t>BD</w:t>
            </w:r>
            <w:r>
              <w:rPr>
                <w:rFonts w:hint="eastAsia"/>
              </w:rPr>
              <w:t>S</w:t>
            </w:r>
            <w:r>
              <w:t>: B1=1.0mm/B2=1.0mm/B3=1.0mm</w:t>
            </w:r>
          </w:p>
          <w:p>
            <w:pPr>
              <w:pStyle w:val="20"/>
            </w:pPr>
            <w:r>
              <w:t>GLONASS: G1=1.0mm/G2=1.0mm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精度</w:t>
            </w: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授时</w:t>
            </w:r>
          </w:p>
        </w:tc>
        <w:tc>
          <w:tcPr>
            <w:tcW w:w="5297" w:type="dxa"/>
            <w:shd w:val="clear" w:color="auto" w:fill="auto"/>
            <w:vAlign w:val="center"/>
          </w:tcPr>
          <w:p>
            <w:pPr>
              <w:pStyle w:val="20"/>
            </w:pPr>
            <w:r>
              <w:t>20 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pStyle w:val="20"/>
            </w:pP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精密单点定位</w:t>
            </w:r>
          </w:p>
        </w:tc>
        <w:tc>
          <w:tcPr>
            <w:tcW w:w="5297" w:type="dxa"/>
            <w:shd w:val="clear" w:color="auto" w:fill="auto"/>
            <w:vAlign w:val="center"/>
          </w:tcPr>
          <w:p>
            <w:pPr>
              <w:pStyle w:val="20"/>
            </w:pPr>
            <w:r>
              <w:t>&lt; 4m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pStyle w:val="20"/>
            </w:pP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静态差分</w:t>
            </w:r>
          </w:p>
        </w:tc>
        <w:tc>
          <w:tcPr>
            <w:tcW w:w="5297" w:type="dxa"/>
            <w:shd w:val="clear" w:color="auto" w:fill="auto"/>
            <w:vAlign w:val="center"/>
          </w:tcPr>
          <w:p>
            <w:pPr>
              <w:pStyle w:val="20"/>
            </w:pPr>
            <w:r>
              <w:t>H: ±(2.5 +1×10-6×D)mm</w:t>
            </w:r>
            <w:r>
              <w:rPr>
                <w:rFonts w:hint="eastAsia"/>
              </w:rPr>
              <w:t>，</w:t>
            </w:r>
            <w:r>
              <w:t>V: ±(5 + 1×10-6×D)mm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7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pStyle w:val="20"/>
            </w:pPr>
          </w:p>
        </w:tc>
        <w:tc>
          <w:tcPr>
            <w:tcW w:w="1798" w:type="dxa"/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动态差分</w:t>
            </w:r>
          </w:p>
        </w:tc>
        <w:tc>
          <w:tcPr>
            <w:tcW w:w="5297" w:type="dxa"/>
            <w:shd w:val="clear" w:color="auto" w:fill="auto"/>
            <w:vAlign w:val="center"/>
          </w:tcPr>
          <w:p>
            <w:pPr>
              <w:pStyle w:val="20"/>
            </w:pPr>
            <w:r>
              <w:t>H: ±(10 +1×10-6×D)mm</w:t>
            </w:r>
            <w:r>
              <w:rPr>
                <w:rFonts w:hint="eastAsia"/>
              </w:rPr>
              <w:t>，</w:t>
            </w:r>
            <w:r>
              <w:t xml:space="preserve">V: ±(20 + 1×10-6×D)mm </w:t>
            </w:r>
          </w:p>
        </w:tc>
      </w:tr>
    </w:tbl>
    <w:p>
      <w:pPr>
        <w:pStyle w:val="2"/>
      </w:pPr>
      <w:r>
        <w:rPr>
          <w:rFonts w:hint="eastAsia"/>
        </w:rPr>
        <w:t>应用介绍</w:t>
      </w:r>
    </w:p>
    <w:p>
      <w:pPr>
        <w:spacing w:before="156"/>
        <w:ind w:firstLine="480"/>
        <w:rPr>
          <w:szCs w:val="24"/>
        </w:rPr>
      </w:pPr>
      <w:r>
        <w:rPr>
          <w:rFonts w:hint="eastAsia"/>
          <w:szCs w:val="24"/>
        </w:rPr>
        <w:t>地基增强系统的应用领域无所不在，从测绘、勘探、监测等专业领域到导航、旅游等大众领域，以下列表简述；</w:t>
      </w:r>
    </w:p>
    <w:tbl>
      <w:tblPr>
        <w:tblStyle w:val="13"/>
        <w:tblW w:w="875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7"/>
        <w:gridCol w:w="1878"/>
        <w:gridCol w:w="1785"/>
        <w:gridCol w:w="3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7" w:type="dxa"/>
          </w:tcPr>
          <w:p>
            <w:pPr>
              <w:pStyle w:val="20"/>
            </w:pPr>
            <w:r>
              <w:rPr>
                <w:rFonts w:hint="eastAsia"/>
              </w:rPr>
              <w:t>应用领域</w:t>
            </w:r>
          </w:p>
        </w:tc>
        <w:tc>
          <w:tcPr>
            <w:tcW w:w="1878" w:type="dxa"/>
          </w:tcPr>
          <w:p>
            <w:pPr>
              <w:pStyle w:val="20"/>
            </w:pPr>
            <w:r>
              <w:rPr>
                <w:rFonts w:hint="eastAsia"/>
              </w:rPr>
              <w:t>要求精度</w:t>
            </w:r>
          </w:p>
        </w:tc>
        <w:tc>
          <w:tcPr>
            <w:tcW w:w="1785" w:type="dxa"/>
          </w:tcPr>
          <w:p>
            <w:pPr>
              <w:pStyle w:val="20"/>
            </w:pPr>
            <w:r>
              <w:rPr>
                <w:rFonts w:hint="eastAsia"/>
              </w:rPr>
              <w:t>推荐终端类型</w:t>
            </w:r>
          </w:p>
        </w:tc>
        <w:tc>
          <w:tcPr>
            <w:tcW w:w="3357" w:type="dxa"/>
          </w:tcPr>
          <w:p>
            <w:pPr>
              <w:pStyle w:val="20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7" w:type="dxa"/>
          </w:tcPr>
          <w:p>
            <w:pPr>
              <w:pStyle w:val="20"/>
            </w:pPr>
            <w:r>
              <w:rPr>
                <w:rFonts w:hint="eastAsia"/>
              </w:rPr>
              <w:t>测绘/GIS/勘测/国土/城建</w:t>
            </w:r>
          </w:p>
        </w:tc>
        <w:tc>
          <w:tcPr>
            <w:tcW w:w="1878" w:type="dxa"/>
          </w:tcPr>
          <w:p>
            <w:pPr>
              <w:pStyle w:val="20"/>
            </w:pPr>
            <w:r>
              <w:rPr>
                <w:rFonts w:hint="eastAsia"/>
              </w:rPr>
              <w:t>毫米级/厘米级</w:t>
            </w:r>
          </w:p>
        </w:tc>
        <w:tc>
          <w:tcPr>
            <w:tcW w:w="1785" w:type="dxa"/>
          </w:tcPr>
          <w:p>
            <w:pPr>
              <w:pStyle w:val="20"/>
            </w:pPr>
            <w:r>
              <w:rPr>
                <w:rFonts w:hint="eastAsia"/>
              </w:rPr>
              <w:t>双频/多模</w:t>
            </w:r>
          </w:p>
        </w:tc>
        <w:tc>
          <w:tcPr>
            <w:tcW w:w="3357" w:type="dxa"/>
          </w:tcPr>
          <w:p>
            <w:pPr>
              <w:pStyle w:val="20"/>
            </w:pPr>
            <w:r>
              <w:rPr>
                <w:rFonts w:hint="eastAsia"/>
              </w:rPr>
              <w:t>采集高精度地图数据，用于各种基础设施工程建设领域，为智慧城市建设提供基础数据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7" w:type="dxa"/>
          </w:tcPr>
          <w:p>
            <w:pPr>
              <w:pStyle w:val="20"/>
            </w:pPr>
            <w:r>
              <w:rPr>
                <w:rFonts w:hint="eastAsia"/>
              </w:rPr>
              <w:t>灾害/建筑物/构筑物监测</w:t>
            </w:r>
          </w:p>
        </w:tc>
        <w:tc>
          <w:tcPr>
            <w:tcW w:w="1878" w:type="dxa"/>
          </w:tcPr>
          <w:p>
            <w:pPr>
              <w:pStyle w:val="20"/>
            </w:pPr>
            <w:r>
              <w:rPr>
                <w:rFonts w:hint="eastAsia"/>
              </w:rPr>
              <w:t>毫米级/厘米级</w:t>
            </w:r>
          </w:p>
        </w:tc>
        <w:tc>
          <w:tcPr>
            <w:tcW w:w="1785" w:type="dxa"/>
          </w:tcPr>
          <w:p>
            <w:pPr>
              <w:pStyle w:val="20"/>
            </w:pPr>
            <w:r>
              <w:rPr>
                <w:rFonts w:hint="eastAsia"/>
              </w:rPr>
              <w:t>双频/多模</w:t>
            </w:r>
          </w:p>
        </w:tc>
        <w:tc>
          <w:tcPr>
            <w:tcW w:w="3357" w:type="dxa"/>
          </w:tcPr>
          <w:p>
            <w:pPr>
              <w:pStyle w:val="20"/>
            </w:pPr>
            <w:r>
              <w:rPr>
                <w:rFonts w:hint="eastAsia"/>
              </w:rPr>
              <w:t>监测目标运行状态，减少经济损失、人员伤亡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7" w:type="dxa"/>
          </w:tcPr>
          <w:p>
            <w:pPr>
              <w:pStyle w:val="20"/>
            </w:pPr>
            <w:r>
              <w:rPr>
                <w:rFonts w:hint="eastAsia"/>
              </w:rPr>
              <w:t>智能交通/车辆监控</w:t>
            </w:r>
          </w:p>
        </w:tc>
        <w:tc>
          <w:tcPr>
            <w:tcW w:w="1878" w:type="dxa"/>
          </w:tcPr>
          <w:p>
            <w:pPr>
              <w:pStyle w:val="20"/>
            </w:pPr>
            <w:r>
              <w:rPr>
                <w:rFonts w:hint="eastAsia"/>
              </w:rPr>
              <w:t>分米级/亚米级</w:t>
            </w:r>
          </w:p>
        </w:tc>
        <w:tc>
          <w:tcPr>
            <w:tcW w:w="1785" w:type="dxa"/>
          </w:tcPr>
          <w:p>
            <w:pPr>
              <w:pStyle w:val="20"/>
            </w:pPr>
            <w:r>
              <w:rPr>
                <w:rFonts w:hint="eastAsia"/>
              </w:rPr>
              <w:t>双频/单频/多模</w:t>
            </w:r>
          </w:p>
        </w:tc>
        <w:tc>
          <w:tcPr>
            <w:tcW w:w="3357" w:type="dxa"/>
          </w:tcPr>
          <w:p>
            <w:pPr>
              <w:pStyle w:val="20"/>
            </w:pPr>
            <w:r>
              <w:rPr>
                <w:rFonts w:hint="eastAsia"/>
              </w:rPr>
              <w:t>为智能交通管理、车道级车辆控制提供基础的位置数据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7" w:type="dxa"/>
          </w:tcPr>
          <w:p>
            <w:pPr>
              <w:pStyle w:val="20"/>
            </w:pPr>
            <w:r>
              <w:rPr>
                <w:rFonts w:hint="eastAsia"/>
              </w:rPr>
              <w:t>地震监测</w:t>
            </w:r>
          </w:p>
        </w:tc>
        <w:tc>
          <w:tcPr>
            <w:tcW w:w="1878" w:type="dxa"/>
          </w:tcPr>
          <w:p>
            <w:pPr>
              <w:pStyle w:val="20"/>
            </w:pPr>
            <w:r>
              <w:rPr>
                <w:rFonts w:hint="eastAsia"/>
              </w:rPr>
              <w:t>毫米级</w:t>
            </w:r>
          </w:p>
        </w:tc>
        <w:tc>
          <w:tcPr>
            <w:tcW w:w="1785" w:type="dxa"/>
          </w:tcPr>
          <w:p>
            <w:pPr>
              <w:pStyle w:val="20"/>
            </w:pPr>
            <w:r>
              <w:rPr>
                <w:rFonts w:hint="eastAsia"/>
              </w:rPr>
              <w:t>双频/多模</w:t>
            </w:r>
          </w:p>
        </w:tc>
        <w:tc>
          <w:tcPr>
            <w:tcW w:w="3357" w:type="dxa"/>
          </w:tcPr>
          <w:p>
            <w:pPr>
              <w:pStyle w:val="20"/>
            </w:pPr>
            <w:r>
              <w:rPr>
                <w:rFonts w:hint="eastAsia"/>
              </w:rPr>
              <w:t>大陆架地壳稳定性监测研究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7" w:type="dxa"/>
          </w:tcPr>
          <w:p>
            <w:pPr>
              <w:pStyle w:val="20"/>
            </w:pPr>
            <w:r>
              <w:rPr>
                <w:rFonts w:hint="eastAsia"/>
              </w:rPr>
              <w:t>航海勘测与导航</w:t>
            </w:r>
          </w:p>
        </w:tc>
        <w:tc>
          <w:tcPr>
            <w:tcW w:w="1878" w:type="dxa"/>
          </w:tcPr>
          <w:p>
            <w:pPr>
              <w:pStyle w:val="20"/>
            </w:pPr>
            <w:r>
              <w:rPr>
                <w:rFonts w:hint="eastAsia"/>
              </w:rPr>
              <w:t>分米级/亚米级/米级</w:t>
            </w:r>
          </w:p>
        </w:tc>
        <w:tc>
          <w:tcPr>
            <w:tcW w:w="1785" w:type="dxa"/>
          </w:tcPr>
          <w:p>
            <w:pPr>
              <w:pStyle w:val="20"/>
            </w:pPr>
            <w:r>
              <w:rPr>
                <w:rFonts w:hint="eastAsia"/>
              </w:rPr>
              <w:t>双频/单频/多模</w:t>
            </w:r>
          </w:p>
        </w:tc>
        <w:tc>
          <w:tcPr>
            <w:tcW w:w="3357" w:type="dxa"/>
          </w:tcPr>
          <w:p>
            <w:pPr>
              <w:pStyle w:val="20"/>
            </w:pPr>
            <w:r>
              <w:rPr>
                <w:rFonts w:hint="eastAsia"/>
              </w:rPr>
              <w:t>航海船只的精确定位、精确导航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7" w:type="dxa"/>
          </w:tcPr>
          <w:p>
            <w:pPr>
              <w:pStyle w:val="20"/>
            </w:pPr>
            <w:r>
              <w:rPr>
                <w:rFonts w:hint="eastAsia"/>
              </w:rPr>
              <w:t>航空导航与控制</w:t>
            </w:r>
          </w:p>
        </w:tc>
        <w:tc>
          <w:tcPr>
            <w:tcW w:w="1878" w:type="dxa"/>
          </w:tcPr>
          <w:p>
            <w:pPr>
              <w:pStyle w:val="20"/>
            </w:pPr>
            <w:r>
              <w:rPr>
                <w:rFonts w:hint="eastAsia"/>
              </w:rPr>
              <w:t>厘米级/分米级/亚米级</w:t>
            </w:r>
          </w:p>
        </w:tc>
        <w:tc>
          <w:tcPr>
            <w:tcW w:w="1785" w:type="dxa"/>
          </w:tcPr>
          <w:p>
            <w:pPr>
              <w:pStyle w:val="20"/>
            </w:pPr>
            <w:r>
              <w:rPr>
                <w:rFonts w:hint="eastAsia"/>
              </w:rPr>
              <w:t>双频/单频/多模</w:t>
            </w:r>
          </w:p>
        </w:tc>
        <w:tc>
          <w:tcPr>
            <w:tcW w:w="3357" w:type="dxa"/>
          </w:tcPr>
          <w:p>
            <w:pPr>
              <w:pStyle w:val="20"/>
            </w:pPr>
            <w:r>
              <w:rPr>
                <w:rFonts w:hint="eastAsia"/>
              </w:rPr>
              <w:t>航空飞行器的导航、进场精密控制等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7" w:type="dxa"/>
          </w:tcPr>
          <w:p>
            <w:pPr>
              <w:pStyle w:val="20"/>
            </w:pPr>
            <w:r>
              <w:rPr>
                <w:rFonts w:hint="eastAsia"/>
              </w:rPr>
              <w:t>精准农业</w:t>
            </w:r>
          </w:p>
        </w:tc>
        <w:tc>
          <w:tcPr>
            <w:tcW w:w="1878" w:type="dxa"/>
          </w:tcPr>
          <w:p>
            <w:pPr>
              <w:pStyle w:val="20"/>
            </w:pPr>
            <w:r>
              <w:rPr>
                <w:rFonts w:hint="eastAsia"/>
              </w:rPr>
              <w:t>厘米级/分米级/亚米级</w:t>
            </w:r>
          </w:p>
        </w:tc>
        <w:tc>
          <w:tcPr>
            <w:tcW w:w="1785" w:type="dxa"/>
          </w:tcPr>
          <w:p>
            <w:pPr>
              <w:pStyle w:val="20"/>
            </w:pPr>
            <w:r>
              <w:rPr>
                <w:rFonts w:hint="eastAsia"/>
              </w:rPr>
              <w:t>双频/单频/多模</w:t>
            </w:r>
          </w:p>
        </w:tc>
        <w:tc>
          <w:tcPr>
            <w:tcW w:w="3357" w:type="dxa"/>
          </w:tcPr>
          <w:p>
            <w:pPr>
              <w:pStyle w:val="20"/>
            </w:pPr>
            <w:r>
              <w:rPr>
                <w:rFonts w:hint="eastAsia"/>
              </w:rPr>
              <w:t>农业精细化管理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7" w:type="dxa"/>
          </w:tcPr>
          <w:p>
            <w:pPr>
              <w:pStyle w:val="20"/>
            </w:pPr>
            <w:r>
              <w:rPr>
                <w:rFonts w:hint="eastAsia"/>
              </w:rPr>
              <w:t>应急救援/旅游</w:t>
            </w:r>
          </w:p>
        </w:tc>
        <w:tc>
          <w:tcPr>
            <w:tcW w:w="1878" w:type="dxa"/>
          </w:tcPr>
          <w:p>
            <w:pPr>
              <w:pStyle w:val="20"/>
            </w:pPr>
            <w:r>
              <w:rPr>
                <w:rFonts w:hint="eastAsia"/>
              </w:rPr>
              <w:t>亚米级/米级</w:t>
            </w:r>
          </w:p>
        </w:tc>
        <w:tc>
          <w:tcPr>
            <w:tcW w:w="1785" w:type="dxa"/>
          </w:tcPr>
          <w:p>
            <w:pPr>
              <w:pStyle w:val="20"/>
            </w:pPr>
            <w:r>
              <w:rPr>
                <w:rFonts w:hint="eastAsia"/>
              </w:rPr>
              <w:t>单频/多模</w:t>
            </w:r>
          </w:p>
        </w:tc>
        <w:tc>
          <w:tcPr>
            <w:tcW w:w="3357" w:type="dxa"/>
          </w:tcPr>
          <w:p>
            <w:pPr>
              <w:pStyle w:val="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7" w:type="dxa"/>
          </w:tcPr>
          <w:p>
            <w:pPr>
              <w:pStyle w:val="20"/>
            </w:pPr>
            <w:r>
              <w:rPr>
                <w:rFonts w:hint="eastAsia"/>
              </w:rPr>
              <w:t>港口车辆调度/集装箱调度</w:t>
            </w:r>
          </w:p>
        </w:tc>
        <w:tc>
          <w:tcPr>
            <w:tcW w:w="1878" w:type="dxa"/>
          </w:tcPr>
          <w:p>
            <w:pPr>
              <w:pStyle w:val="20"/>
            </w:pPr>
            <w:r>
              <w:rPr>
                <w:rFonts w:hint="eastAsia"/>
              </w:rPr>
              <w:t>厘米级/分米级</w:t>
            </w:r>
          </w:p>
        </w:tc>
        <w:tc>
          <w:tcPr>
            <w:tcW w:w="1785" w:type="dxa"/>
          </w:tcPr>
          <w:p>
            <w:pPr>
              <w:pStyle w:val="20"/>
            </w:pPr>
            <w:r>
              <w:rPr>
                <w:rFonts w:hint="eastAsia"/>
              </w:rPr>
              <w:t>双频/单频/多模</w:t>
            </w:r>
          </w:p>
        </w:tc>
        <w:tc>
          <w:tcPr>
            <w:tcW w:w="3357" w:type="dxa"/>
          </w:tcPr>
          <w:p>
            <w:pPr>
              <w:pStyle w:val="20"/>
            </w:pPr>
          </w:p>
        </w:tc>
      </w:tr>
    </w:tbl>
    <w:p>
      <w:pPr>
        <w:spacing w:before="156"/>
        <w:ind w:firstLine="48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Lines="0" w:line="240" w:lineRule="auto"/>
      <w:ind w:firstLine="0" w:firstLineChars="0"/>
      <w:jc w:val="both"/>
    </w:pPr>
    <w:r>
      <w:drawing>
        <wp:inline distT="0" distB="0" distL="0" distR="0">
          <wp:extent cx="967105" cy="287020"/>
          <wp:effectExtent l="0" t="0" r="444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082" cy="287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>上海司南卫星导航技术有限公司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06EC7"/>
    <w:multiLevelType w:val="multilevel"/>
    <w:tmpl w:val="1FA06EC7"/>
    <w:lvl w:ilvl="0" w:tentative="0">
      <w:start w:val="1"/>
      <w:numFmt w:val="bullet"/>
      <w:lvlText w:val=""/>
      <w:lvlJc w:val="left"/>
      <w:pPr>
        <w:tabs>
          <w:tab w:val="left" w:pos="840"/>
        </w:tabs>
        <w:ind w:left="0" w:firstLine="420"/>
      </w:pPr>
      <w:rPr>
        <w:rFonts w:hint="default" w:ascii="Wingdings" w:hAnsi="Wingdings"/>
      </w:rPr>
    </w:lvl>
    <w:lvl w:ilvl="1" w:tentative="0">
      <w:start w:val="1"/>
      <w:numFmt w:val="decimal"/>
      <w:lvlText w:val="%2)"/>
      <w:lvlJc w:val="left"/>
      <w:pPr>
        <w:tabs>
          <w:tab w:val="left" w:pos="840"/>
        </w:tabs>
        <w:ind w:left="0" w:firstLine="420"/>
      </w:pPr>
      <w:rPr>
        <w:rFonts w:hint="default"/>
        <w:b w:val="0"/>
        <w:i w:val="0"/>
        <w:sz w:val="24"/>
        <w:szCs w:val="24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43416645"/>
    <w:multiLevelType w:val="multilevel"/>
    <w:tmpl w:val="43416645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7FC9"/>
    <w:rsid w:val="00024976"/>
    <w:rsid w:val="000404A0"/>
    <w:rsid w:val="00041BB6"/>
    <w:rsid w:val="000462D8"/>
    <w:rsid w:val="000512ED"/>
    <w:rsid w:val="0007406D"/>
    <w:rsid w:val="00076559"/>
    <w:rsid w:val="00085B9F"/>
    <w:rsid w:val="000A7FC9"/>
    <w:rsid w:val="000B36FD"/>
    <w:rsid w:val="000E4EA5"/>
    <w:rsid w:val="000E5423"/>
    <w:rsid w:val="0010419A"/>
    <w:rsid w:val="00123D4E"/>
    <w:rsid w:val="00137D0A"/>
    <w:rsid w:val="001414A0"/>
    <w:rsid w:val="00172192"/>
    <w:rsid w:val="0017611F"/>
    <w:rsid w:val="001945A2"/>
    <w:rsid w:val="001A4BD7"/>
    <w:rsid w:val="001A670F"/>
    <w:rsid w:val="001B3022"/>
    <w:rsid w:val="001F3AF0"/>
    <w:rsid w:val="00206171"/>
    <w:rsid w:val="002255F0"/>
    <w:rsid w:val="0022685F"/>
    <w:rsid w:val="00236D3B"/>
    <w:rsid w:val="00255A82"/>
    <w:rsid w:val="00260B8C"/>
    <w:rsid w:val="0026148D"/>
    <w:rsid w:val="0027111B"/>
    <w:rsid w:val="00273E5A"/>
    <w:rsid w:val="002916FE"/>
    <w:rsid w:val="002B6749"/>
    <w:rsid w:val="002F03AC"/>
    <w:rsid w:val="002F7398"/>
    <w:rsid w:val="00331909"/>
    <w:rsid w:val="0034161D"/>
    <w:rsid w:val="00344BC5"/>
    <w:rsid w:val="00353227"/>
    <w:rsid w:val="003A1F4B"/>
    <w:rsid w:val="003A36E5"/>
    <w:rsid w:val="003B5ECA"/>
    <w:rsid w:val="003C1D76"/>
    <w:rsid w:val="003D5AB0"/>
    <w:rsid w:val="003F4514"/>
    <w:rsid w:val="00400E31"/>
    <w:rsid w:val="00407DCD"/>
    <w:rsid w:val="00436D47"/>
    <w:rsid w:val="00462E60"/>
    <w:rsid w:val="004722C0"/>
    <w:rsid w:val="00480099"/>
    <w:rsid w:val="004E05E1"/>
    <w:rsid w:val="00533613"/>
    <w:rsid w:val="0059021B"/>
    <w:rsid w:val="005A0595"/>
    <w:rsid w:val="005A41C0"/>
    <w:rsid w:val="005C43ED"/>
    <w:rsid w:val="005C7631"/>
    <w:rsid w:val="005D3715"/>
    <w:rsid w:val="005E3230"/>
    <w:rsid w:val="0063161A"/>
    <w:rsid w:val="0065000D"/>
    <w:rsid w:val="00651DC6"/>
    <w:rsid w:val="00653E9A"/>
    <w:rsid w:val="00654F0E"/>
    <w:rsid w:val="00656B74"/>
    <w:rsid w:val="00676F74"/>
    <w:rsid w:val="006958E8"/>
    <w:rsid w:val="006B40BD"/>
    <w:rsid w:val="006F0E7C"/>
    <w:rsid w:val="00705584"/>
    <w:rsid w:val="0072200D"/>
    <w:rsid w:val="0073684A"/>
    <w:rsid w:val="00745F7B"/>
    <w:rsid w:val="00747F25"/>
    <w:rsid w:val="00766B47"/>
    <w:rsid w:val="0077344E"/>
    <w:rsid w:val="00774685"/>
    <w:rsid w:val="007B5800"/>
    <w:rsid w:val="007D121B"/>
    <w:rsid w:val="007D6A57"/>
    <w:rsid w:val="007E190D"/>
    <w:rsid w:val="007F2D0E"/>
    <w:rsid w:val="0082673D"/>
    <w:rsid w:val="00832F65"/>
    <w:rsid w:val="00882359"/>
    <w:rsid w:val="00894759"/>
    <w:rsid w:val="008D1DB6"/>
    <w:rsid w:val="008D6BB3"/>
    <w:rsid w:val="0090796A"/>
    <w:rsid w:val="00916E60"/>
    <w:rsid w:val="009217C6"/>
    <w:rsid w:val="00940EEC"/>
    <w:rsid w:val="009532DA"/>
    <w:rsid w:val="009551AB"/>
    <w:rsid w:val="0095569B"/>
    <w:rsid w:val="00965979"/>
    <w:rsid w:val="00966606"/>
    <w:rsid w:val="00974748"/>
    <w:rsid w:val="0098388E"/>
    <w:rsid w:val="009A420E"/>
    <w:rsid w:val="009C1C0B"/>
    <w:rsid w:val="009C4EE1"/>
    <w:rsid w:val="009D1872"/>
    <w:rsid w:val="009D3F51"/>
    <w:rsid w:val="009E4306"/>
    <w:rsid w:val="00AA5073"/>
    <w:rsid w:val="00AB291D"/>
    <w:rsid w:val="00AB4544"/>
    <w:rsid w:val="00AE57F5"/>
    <w:rsid w:val="00AF2E75"/>
    <w:rsid w:val="00B800D0"/>
    <w:rsid w:val="00B835D5"/>
    <w:rsid w:val="00B90BC8"/>
    <w:rsid w:val="00B924E9"/>
    <w:rsid w:val="00B92521"/>
    <w:rsid w:val="00BA229A"/>
    <w:rsid w:val="00C13478"/>
    <w:rsid w:val="00C40125"/>
    <w:rsid w:val="00C50C13"/>
    <w:rsid w:val="00C64935"/>
    <w:rsid w:val="00C76767"/>
    <w:rsid w:val="00C8004B"/>
    <w:rsid w:val="00CA056F"/>
    <w:rsid w:val="00CB138C"/>
    <w:rsid w:val="00CC23FA"/>
    <w:rsid w:val="00CF0487"/>
    <w:rsid w:val="00CF26DE"/>
    <w:rsid w:val="00CF5D61"/>
    <w:rsid w:val="00CF6D87"/>
    <w:rsid w:val="00D06FDA"/>
    <w:rsid w:val="00D2554A"/>
    <w:rsid w:val="00D3096A"/>
    <w:rsid w:val="00D536CB"/>
    <w:rsid w:val="00D54A0E"/>
    <w:rsid w:val="00D844B2"/>
    <w:rsid w:val="00D848C1"/>
    <w:rsid w:val="00D918FD"/>
    <w:rsid w:val="00D96C25"/>
    <w:rsid w:val="00E03205"/>
    <w:rsid w:val="00E21081"/>
    <w:rsid w:val="00E21C71"/>
    <w:rsid w:val="00E2528A"/>
    <w:rsid w:val="00E51474"/>
    <w:rsid w:val="00E92F5B"/>
    <w:rsid w:val="00ED1DC3"/>
    <w:rsid w:val="00EE6341"/>
    <w:rsid w:val="00F202C6"/>
    <w:rsid w:val="00F307C9"/>
    <w:rsid w:val="00F31E8B"/>
    <w:rsid w:val="00F3541D"/>
    <w:rsid w:val="00F62B13"/>
    <w:rsid w:val="00F76DCE"/>
    <w:rsid w:val="00F901E2"/>
    <w:rsid w:val="00F97CC5"/>
    <w:rsid w:val="00F97DC9"/>
    <w:rsid w:val="00FA38C1"/>
    <w:rsid w:val="00FB1F92"/>
    <w:rsid w:val="00FB46B8"/>
    <w:rsid w:val="00FC1E60"/>
    <w:rsid w:val="00FC1F25"/>
    <w:rsid w:val="00FF37D7"/>
    <w:rsid w:val="00FF5AE1"/>
    <w:rsid w:val="32117958"/>
    <w:rsid w:val="47BF71C0"/>
    <w:rsid w:val="6C0631E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qFormat="1" w:uiPriority="99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50" w:line="360" w:lineRule="auto"/>
      <w:ind w:firstLine="200" w:firstLineChars="200"/>
    </w:pPr>
    <w:rPr>
      <w:rFonts w:eastAsia="仿宋_GB2312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numPr>
        <w:ilvl w:val="0"/>
        <w:numId w:val="1"/>
      </w:numPr>
      <w:spacing w:beforeLines="0" w:after="120" w:line="240" w:lineRule="auto"/>
      <w:ind w:left="0" w:firstLine="0" w:firstLineChars="0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after="120"/>
      <w:ind w:firstLine="0" w:firstLineChars="0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link w:val="22"/>
    <w:unhideWhenUsed/>
    <w:qFormat/>
    <w:uiPriority w:val="0"/>
    <w:pPr>
      <w:ind w:firstLine="420"/>
    </w:pPr>
    <w:rPr>
      <w:szCs w:val="21"/>
    </w:rPr>
  </w:style>
  <w:style w:type="paragraph" w:styleId="6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footnote text"/>
    <w:basedOn w:val="1"/>
    <w:link w:val="26"/>
    <w:unhideWhenUsed/>
    <w:qFormat/>
    <w:uiPriority w:val="99"/>
    <w:pPr>
      <w:snapToGrid w:val="0"/>
      <w:spacing w:beforeLines="0" w:line="240" w:lineRule="auto"/>
      <w:ind w:firstLine="0" w:firstLineChars="0"/>
    </w:pPr>
    <w:rPr>
      <w:rFonts w:eastAsiaTheme="minorEastAsia"/>
      <w:sz w:val="18"/>
      <w:szCs w:val="18"/>
    </w:rPr>
  </w:style>
  <w:style w:type="character" w:styleId="11">
    <w:name w:val="footnote reference"/>
    <w:basedOn w:val="10"/>
    <w:unhideWhenUsed/>
    <w:qFormat/>
    <w:uiPriority w:val="99"/>
    <w:rPr>
      <w:vertAlign w:val="superscript"/>
    </w:rPr>
  </w:style>
  <w:style w:type="table" w:styleId="13">
    <w:name w:val="Table Grid"/>
    <w:basedOn w:val="1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7"/>
    <w:qFormat/>
    <w:uiPriority w:val="99"/>
    <w:rPr>
      <w:sz w:val="18"/>
      <w:szCs w:val="18"/>
    </w:rPr>
  </w:style>
  <w:style w:type="character" w:customStyle="1" w:styleId="16">
    <w:name w:val="批注框文本 Char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rFonts w:eastAsia="黑体"/>
      <w:b/>
      <w:bCs/>
      <w:kern w:val="44"/>
      <w:sz w:val="32"/>
      <w:szCs w:val="44"/>
    </w:rPr>
  </w:style>
  <w:style w:type="character" w:customStyle="1" w:styleId="18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paragraph" w:customStyle="1" w:styleId="19">
    <w:name w:val="List Paragraph"/>
    <w:basedOn w:val="1"/>
    <w:link w:val="23"/>
    <w:qFormat/>
    <w:uiPriority w:val="34"/>
    <w:pPr>
      <w:ind w:firstLine="420"/>
    </w:pPr>
  </w:style>
  <w:style w:type="paragraph" w:customStyle="1" w:styleId="20">
    <w:name w:val="表格"/>
    <w:basedOn w:val="1"/>
    <w:qFormat/>
    <w:uiPriority w:val="0"/>
    <w:pPr>
      <w:spacing w:beforeLines="0"/>
      <w:ind w:firstLine="0" w:firstLineChars="0"/>
    </w:pPr>
    <w:rPr>
      <w:rFonts w:eastAsiaTheme="minorEastAsia"/>
      <w:sz w:val="21"/>
    </w:rPr>
  </w:style>
  <w:style w:type="character" w:customStyle="1" w:styleId="21">
    <w:name w:val="标题 3 Char"/>
    <w:basedOn w:val="10"/>
    <w:link w:val="4"/>
    <w:qFormat/>
    <w:uiPriority w:val="9"/>
    <w:rPr>
      <w:rFonts w:eastAsia="仿宋_GB2312"/>
      <w:b/>
      <w:bCs/>
      <w:sz w:val="32"/>
      <w:szCs w:val="32"/>
    </w:rPr>
  </w:style>
  <w:style w:type="character" w:customStyle="1" w:styleId="22">
    <w:name w:val="正文缩进 Char1"/>
    <w:link w:val="5"/>
    <w:qFormat/>
    <w:uiPriority w:val="0"/>
    <w:rPr>
      <w:rFonts w:eastAsia="仿宋_GB2312"/>
      <w:sz w:val="24"/>
      <w:szCs w:val="21"/>
    </w:rPr>
  </w:style>
  <w:style w:type="character" w:customStyle="1" w:styleId="23">
    <w:name w:val="列出段落 Char"/>
    <w:link w:val="19"/>
    <w:qFormat/>
    <w:uiPriority w:val="34"/>
    <w:rPr>
      <w:rFonts w:eastAsia="仿宋_GB2312"/>
      <w:sz w:val="24"/>
    </w:rPr>
  </w:style>
  <w:style w:type="paragraph" w:customStyle="1" w:styleId="24">
    <w:name w:val="Table Header"/>
    <w:basedOn w:val="1"/>
    <w:qFormat/>
    <w:uiPriority w:val="0"/>
    <w:pPr>
      <w:widowControl/>
      <w:spacing w:line="300" w:lineRule="auto"/>
      <w:ind w:firstLine="0" w:firstLineChars="0"/>
    </w:pPr>
    <w:rPr>
      <w:rFonts w:eastAsiaTheme="minorEastAsia"/>
      <w:b/>
      <w:caps/>
      <w:kern w:val="0"/>
      <w:szCs w:val="20"/>
    </w:rPr>
  </w:style>
  <w:style w:type="character" w:customStyle="1" w:styleId="25">
    <w:name w:val="表格头字符"/>
    <w:qFormat/>
    <w:uiPriority w:val="1"/>
    <w:rPr>
      <w:rFonts w:hint="default" w:ascii="Calibri" w:hAnsi="Calibri" w:cs="Calibri"/>
      <w:b/>
      <w:color w:val="FFFFFF" w:themeColor="background1"/>
      <w:sz w:val="21"/>
      <w:u w:color="FFFFFF" w:themeColor="background1"/>
    </w:rPr>
  </w:style>
  <w:style w:type="character" w:customStyle="1" w:styleId="26">
    <w:name w:val="脚注文本 Char"/>
    <w:basedOn w:val="10"/>
    <w:link w:val="9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emf"/><Relationship Id="rId13" Type="http://schemas.openxmlformats.org/officeDocument/2006/relationships/oleObject" Target="embeddings/oleObject1.bin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348</Words>
  <Characters>1990</Characters>
  <Lines>16</Lines>
  <Paragraphs>4</Paragraphs>
  <ScaleCrop>false</ScaleCrop>
  <LinksUpToDate>false</LinksUpToDate>
  <CharactersWithSpaces>2334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2014-11-21T01:18:00Z</dcterms:created>
  <dc:creator>微软用户</dc:creator>
  <cp:lastModifiedBy>Administrator</cp:lastModifiedBy>
  <dcterms:modified xsi:type="dcterms:W3CDTF">2017-03-29T03:46:00Z</dcterms:modified>
  <cp:revision>242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